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D2" w:rsidRPr="00137DD2" w:rsidRDefault="00137DD2" w:rsidP="00137DD2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  <w:r w:rsidRPr="00137DD2">
        <w:rPr>
          <w:rFonts w:eastAsia="Times New Roman"/>
          <w:sz w:val="20"/>
          <w:szCs w:val="20"/>
          <w:lang w:eastAsia="pt-BR"/>
        </w:rPr>
        <w:t>Caro Leandro Oliveira Costa,</w:t>
      </w:r>
    </w:p>
    <w:p w:rsidR="00137DD2" w:rsidRPr="00137DD2" w:rsidRDefault="00137DD2" w:rsidP="00137DD2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  <w:r w:rsidRPr="00137DD2">
        <w:rPr>
          <w:rFonts w:eastAsia="Times New Roman"/>
          <w:sz w:val="20"/>
          <w:szCs w:val="20"/>
          <w:lang w:eastAsia="pt-BR"/>
        </w:rPr>
        <w:t xml:space="preserve"> li o seu artigo "Identificação Parcial do Efeito das Escolas Privadas Brasileiras". Essa versão mostrou avanços em relação à anterior. Para que o texto seja enviado para o Corpo Editorial de PPE, ainda são necessárias algumas mudanças. O texto precisa de uma revisão bastante cuidadosa. Vou mencionar alguns exemplos a seguir, mas esses cobrem apenas uma pequena parte dos problemas. </w:t>
      </w:r>
    </w:p>
    <w:p w:rsidR="00137DD2" w:rsidRPr="00137DD2" w:rsidRDefault="00137DD2" w:rsidP="00137DD2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  <w:r w:rsidRPr="00137DD2">
        <w:rPr>
          <w:rFonts w:eastAsia="Times New Roman"/>
          <w:sz w:val="20"/>
          <w:szCs w:val="20"/>
          <w:lang w:eastAsia="pt-BR"/>
        </w:rPr>
        <w:t> Atenciosamente,</w:t>
      </w:r>
    </w:p>
    <w:p w:rsidR="00137DD2" w:rsidRPr="00137DD2" w:rsidRDefault="00137DD2" w:rsidP="00137DD2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  <w:r w:rsidRPr="00137DD2">
        <w:rPr>
          <w:rFonts w:eastAsia="Times New Roman"/>
          <w:sz w:val="20"/>
          <w:szCs w:val="20"/>
          <w:lang w:eastAsia="pt-BR"/>
        </w:rPr>
        <w:t>Mauricio</w:t>
      </w:r>
    </w:p>
    <w:p w:rsidR="00137DD2" w:rsidRPr="00137DD2" w:rsidRDefault="00137DD2" w:rsidP="00137DD2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  <w:r w:rsidRPr="00137DD2">
        <w:rPr>
          <w:rFonts w:eastAsia="Times New Roman"/>
          <w:sz w:val="20"/>
          <w:szCs w:val="20"/>
          <w:lang w:eastAsia="pt-BR"/>
        </w:rPr>
        <w:t> </w:t>
      </w:r>
    </w:p>
    <w:tbl>
      <w:tblPr>
        <w:tblStyle w:val="Tabelacomgrade"/>
        <w:tblW w:w="0" w:type="auto"/>
        <w:tblLook w:val="04A0"/>
      </w:tblPr>
      <w:tblGrid>
        <w:gridCol w:w="4724"/>
        <w:gridCol w:w="3996"/>
      </w:tblGrid>
      <w:tr w:rsidR="00137DD2" w:rsidRPr="00137DD2" w:rsidTr="00137DD2">
        <w:trPr>
          <w:trHeight w:val="742"/>
        </w:trPr>
        <w:tc>
          <w:tcPr>
            <w:tcW w:w="4724" w:type="dxa"/>
          </w:tcPr>
          <w:p w:rsidR="00137DD2" w:rsidRPr="00137DD2" w:rsidRDefault="00137DD2" w:rsidP="001426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137DD2">
              <w:rPr>
                <w:rFonts w:eastAsia="Times New Roman"/>
                <w:sz w:val="20"/>
                <w:szCs w:val="20"/>
                <w:lang w:eastAsia="pt-BR"/>
              </w:rPr>
              <w:t>1 – O resumo deve ser reescrito para permitir que o leitor não familiarizado com essa literatura consiga saber do que trata o artigo e quais os resultados apresentados.</w:t>
            </w:r>
          </w:p>
          <w:p w:rsidR="00137DD2" w:rsidRPr="00137DD2" w:rsidRDefault="00137DD2" w:rsidP="0014269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137DD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96" w:type="dxa"/>
          </w:tcPr>
          <w:p w:rsidR="00137DD2" w:rsidRPr="00137DD2" w:rsidRDefault="00137DD2" w:rsidP="001426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O resumo foi reescrito.</w:t>
            </w:r>
          </w:p>
        </w:tc>
      </w:tr>
      <w:tr w:rsidR="00137DD2" w:rsidRPr="00137DD2" w:rsidTr="00137DD2">
        <w:trPr>
          <w:trHeight w:val="1485"/>
        </w:trPr>
        <w:tc>
          <w:tcPr>
            <w:tcW w:w="4724" w:type="dxa"/>
          </w:tcPr>
          <w:p w:rsidR="00137DD2" w:rsidRPr="00137DD2" w:rsidRDefault="00137DD2" w:rsidP="001426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137DD2">
              <w:rPr>
                <w:rFonts w:eastAsia="Times New Roman"/>
                <w:sz w:val="20"/>
                <w:szCs w:val="20"/>
                <w:lang w:eastAsia="pt-BR"/>
              </w:rPr>
              <w:t xml:space="preserve">2 – Logo no início da introdução, fica parecendo que as diferenças de desempenho entre alunos de escolas públicas e privadas se devem apenas ao viés de seleção: </w:t>
            </w:r>
          </w:p>
          <w:p w:rsidR="00137DD2" w:rsidRPr="00137DD2" w:rsidRDefault="00137DD2" w:rsidP="001426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137DD2">
              <w:rPr>
                <w:rFonts w:eastAsia="Times New Roman"/>
                <w:sz w:val="20"/>
                <w:szCs w:val="20"/>
                <w:lang w:eastAsia="pt-BR"/>
              </w:rPr>
              <w:t>“Isso pode estar refletindo, tanto a fuga da classe média do ensino público, que busca nas escolas particulares um sistema de ensino mais eficiente, como o maior acesso à educação pública das famílias mais carentes”.</w:t>
            </w:r>
          </w:p>
          <w:p w:rsidR="00137DD2" w:rsidRPr="00137DD2" w:rsidRDefault="00137DD2" w:rsidP="0014269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137DD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96" w:type="dxa"/>
          </w:tcPr>
          <w:p w:rsidR="00137DD2" w:rsidRPr="00137DD2" w:rsidRDefault="00137DD2" w:rsidP="001426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Corrigido.</w:t>
            </w:r>
          </w:p>
        </w:tc>
      </w:tr>
      <w:tr w:rsidR="00137DD2" w:rsidRPr="00137DD2" w:rsidTr="00137DD2">
        <w:trPr>
          <w:trHeight w:val="3244"/>
        </w:trPr>
        <w:tc>
          <w:tcPr>
            <w:tcW w:w="4724" w:type="dxa"/>
          </w:tcPr>
          <w:p w:rsidR="00137DD2" w:rsidRPr="00137DD2" w:rsidRDefault="00137DD2" w:rsidP="001426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137DD2">
              <w:rPr>
                <w:rFonts w:eastAsia="Times New Roman"/>
                <w:sz w:val="20"/>
                <w:szCs w:val="20"/>
                <w:lang w:eastAsia="pt-BR"/>
              </w:rPr>
              <w:t>3 – Vários trechos precisam de uma revisão de texto:</w:t>
            </w:r>
          </w:p>
          <w:p w:rsidR="00137DD2" w:rsidRPr="00137DD2" w:rsidRDefault="00137DD2" w:rsidP="001426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137DD2">
              <w:rPr>
                <w:rFonts w:eastAsia="Times New Roman"/>
                <w:sz w:val="20"/>
                <w:szCs w:val="20"/>
                <w:lang w:eastAsia="pt-BR"/>
              </w:rPr>
              <w:t>Alguns exemplos:</w:t>
            </w:r>
          </w:p>
          <w:p w:rsidR="00137DD2" w:rsidRPr="00137DD2" w:rsidRDefault="00137DD2" w:rsidP="001426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137DD2">
              <w:rPr>
                <w:rFonts w:eastAsia="Times New Roman"/>
                <w:sz w:val="20"/>
                <w:szCs w:val="20"/>
                <w:lang w:eastAsia="pt-BR"/>
              </w:rPr>
              <w:t xml:space="preserve"> Parágrafo 2 da página 2: “Na busca de determinar o efeito médio da </w:t>
            </w:r>
            <w:proofErr w:type="spellStart"/>
            <w:r w:rsidRPr="00137DD2">
              <w:rPr>
                <w:rFonts w:eastAsia="Times New Roman"/>
                <w:sz w:val="20"/>
                <w:szCs w:val="20"/>
                <w:lang w:eastAsia="pt-BR"/>
              </w:rPr>
              <w:t>frequencia</w:t>
            </w:r>
            <w:proofErr w:type="spellEnd"/>
            <w:r w:rsidRPr="00137DD2">
              <w:rPr>
                <w:rFonts w:eastAsia="Times New Roman"/>
                <w:sz w:val="20"/>
                <w:szCs w:val="20"/>
                <w:lang w:eastAsia="pt-BR"/>
              </w:rPr>
              <w:t xml:space="preserve"> regular na escola e o efeito que ela incide no desempenho dos alunos,</w:t>
            </w:r>
            <w:proofErr w:type="gramStart"/>
            <w:r w:rsidRPr="00137DD2">
              <w:rPr>
                <w:rFonts w:eastAsia="Times New Roman"/>
                <w:sz w:val="20"/>
                <w:szCs w:val="20"/>
                <w:lang w:eastAsia="pt-BR"/>
              </w:rPr>
              <w:t>....</w:t>
            </w:r>
            <w:proofErr w:type="gramEnd"/>
            <w:r w:rsidRPr="00137DD2">
              <w:rPr>
                <w:rFonts w:eastAsia="Times New Roman"/>
                <w:sz w:val="20"/>
                <w:szCs w:val="20"/>
                <w:lang w:eastAsia="pt-BR"/>
              </w:rPr>
              <w:t xml:space="preserve"> “.</w:t>
            </w:r>
          </w:p>
          <w:p w:rsidR="00137DD2" w:rsidRPr="00137DD2" w:rsidRDefault="00137DD2" w:rsidP="001426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137DD2">
              <w:rPr>
                <w:rFonts w:eastAsia="Times New Roman"/>
                <w:sz w:val="20"/>
                <w:szCs w:val="20"/>
                <w:lang w:eastAsia="pt-BR"/>
              </w:rPr>
              <w:t xml:space="preserve"> Na página 7: “Com aplicação para países da América Latina, </w:t>
            </w:r>
            <w:proofErr w:type="spellStart"/>
            <w:r w:rsidRPr="00137DD2">
              <w:rPr>
                <w:rFonts w:eastAsia="Times New Roman"/>
                <w:sz w:val="20"/>
                <w:szCs w:val="20"/>
                <w:lang w:eastAsia="pt-BR"/>
              </w:rPr>
              <w:t>Somers</w:t>
            </w:r>
            <w:proofErr w:type="spellEnd"/>
            <w:r w:rsidRPr="00137DD2">
              <w:rPr>
                <w:rFonts w:eastAsia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137DD2">
              <w:rPr>
                <w:rFonts w:eastAsia="Times New Roman"/>
                <w:sz w:val="20"/>
                <w:szCs w:val="20"/>
                <w:lang w:eastAsia="pt-BR"/>
              </w:rPr>
              <w:t>et</w:t>
            </w:r>
            <w:proofErr w:type="spellEnd"/>
            <w:proofErr w:type="gramEnd"/>
            <w:r w:rsidRPr="00137DD2">
              <w:rPr>
                <w:rFonts w:eastAsia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37DD2">
              <w:rPr>
                <w:rFonts w:eastAsia="Times New Roman"/>
                <w:sz w:val="20"/>
                <w:szCs w:val="20"/>
                <w:lang w:eastAsia="pt-BR"/>
              </w:rPr>
              <w:t>al</w:t>
            </w:r>
            <w:proofErr w:type="spellEnd"/>
            <w:r w:rsidRPr="00137DD2">
              <w:rPr>
                <w:rFonts w:eastAsia="Times New Roman"/>
                <w:sz w:val="20"/>
                <w:szCs w:val="20"/>
                <w:lang w:eastAsia="pt-BR"/>
              </w:rPr>
              <w:t xml:space="preserve"> (2004) comparam a efetividade das escolas privadas em países da América Latina,....”.</w:t>
            </w:r>
          </w:p>
          <w:p w:rsidR="00137DD2" w:rsidRPr="00137DD2" w:rsidRDefault="00137DD2" w:rsidP="001426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137DD2">
              <w:rPr>
                <w:rFonts w:eastAsia="Times New Roman"/>
                <w:sz w:val="20"/>
                <w:szCs w:val="20"/>
                <w:lang w:eastAsia="pt-BR"/>
              </w:rPr>
              <w:t> Na página 9: “Foram utilizados os dados do Sistema</w:t>
            </w:r>
            <w:proofErr w:type="gramStart"/>
            <w:r w:rsidRPr="00137DD2">
              <w:rPr>
                <w:rFonts w:eastAsia="Times New Roman"/>
                <w:sz w:val="20"/>
                <w:szCs w:val="20"/>
                <w:lang w:eastAsia="pt-BR"/>
              </w:rPr>
              <w:t>....</w:t>
            </w:r>
            <w:proofErr w:type="gramEnd"/>
            <w:r w:rsidRPr="00137DD2">
              <w:rPr>
                <w:rFonts w:eastAsia="Times New Roman"/>
                <w:sz w:val="20"/>
                <w:szCs w:val="20"/>
                <w:lang w:eastAsia="pt-BR"/>
              </w:rPr>
              <w:t>”.</w:t>
            </w:r>
          </w:p>
          <w:p w:rsidR="00137DD2" w:rsidRPr="00137DD2" w:rsidRDefault="00137DD2" w:rsidP="001426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137DD2">
              <w:rPr>
                <w:rFonts w:eastAsia="Times New Roman"/>
                <w:sz w:val="20"/>
                <w:szCs w:val="20"/>
                <w:lang w:eastAsia="pt-BR"/>
              </w:rPr>
              <w:t> Na página 13: “A estratégia de determinação do efeito dos estudantes brasileiros estarem matriculados em escolas privadas relativos aos de escolas públicas sobre o desempenho em exames de proficiência é, primeiramente, através de um modelo que possibilita a identificação pontual do efeito médio do tratamento (EMT).”</w:t>
            </w:r>
          </w:p>
          <w:p w:rsidR="00137DD2" w:rsidRPr="00137DD2" w:rsidRDefault="00137DD2" w:rsidP="001426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137DD2">
              <w:rPr>
                <w:rFonts w:eastAsia="Times New Roman"/>
                <w:sz w:val="20"/>
                <w:szCs w:val="20"/>
                <w:lang w:eastAsia="pt-BR"/>
              </w:rPr>
              <w:t xml:space="preserve"> Na página 18: </w:t>
            </w:r>
            <w:proofErr w:type="gramStart"/>
            <w:r w:rsidRPr="00137DD2">
              <w:rPr>
                <w:rFonts w:eastAsia="Times New Roman"/>
                <w:sz w:val="20"/>
                <w:szCs w:val="20"/>
                <w:lang w:eastAsia="pt-BR"/>
              </w:rPr>
              <w:t>“...</w:t>
            </w:r>
            <w:proofErr w:type="gramEnd"/>
            <w:r w:rsidRPr="00137DD2">
              <w:rPr>
                <w:rFonts w:eastAsia="Times New Roman"/>
                <w:sz w:val="20"/>
                <w:szCs w:val="20"/>
                <w:lang w:eastAsia="pt-BR"/>
              </w:rPr>
              <w:t>e não é superior do que o superior limite...”.</w:t>
            </w:r>
          </w:p>
          <w:p w:rsidR="00137DD2" w:rsidRPr="00137DD2" w:rsidRDefault="00137DD2" w:rsidP="0014269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137DD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96" w:type="dxa"/>
          </w:tcPr>
          <w:p w:rsidR="00137DD2" w:rsidRPr="00137DD2" w:rsidRDefault="00137DD2" w:rsidP="001426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Trechos revisados.</w:t>
            </w:r>
          </w:p>
        </w:tc>
      </w:tr>
      <w:tr w:rsidR="00137DD2" w:rsidRPr="00137DD2" w:rsidTr="00137DD2">
        <w:trPr>
          <w:trHeight w:val="742"/>
        </w:trPr>
        <w:tc>
          <w:tcPr>
            <w:tcW w:w="4724" w:type="dxa"/>
          </w:tcPr>
          <w:p w:rsidR="00137DD2" w:rsidRPr="00137DD2" w:rsidRDefault="00137DD2" w:rsidP="001426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137DD2">
              <w:rPr>
                <w:rFonts w:eastAsia="Times New Roman"/>
                <w:sz w:val="20"/>
                <w:szCs w:val="20"/>
                <w:lang w:eastAsia="pt-BR"/>
              </w:rPr>
              <w:t xml:space="preserve">4 – No parágrafo 2, alguns termos (“pressupostos de homogeneidade e </w:t>
            </w:r>
            <w:proofErr w:type="spellStart"/>
            <w:r w:rsidRPr="00137DD2">
              <w:rPr>
                <w:rFonts w:eastAsia="Times New Roman"/>
                <w:sz w:val="20"/>
                <w:szCs w:val="20"/>
                <w:lang w:eastAsia="pt-BR"/>
              </w:rPr>
              <w:t>ignorabilidade</w:t>
            </w:r>
            <w:proofErr w:type="spellEnd"/>
            <w:r w:rsidRPr="00137DD2">
              <w:rPr>
                <w:rFonts w:eastAsia="Times New Roman"/>
                <w:sz w:val="20"/>
                <w:szCs w:val="20"/>
                <w:lang w:eastAsia="pt-BR"/>
              </w:rPr>
              <w:t xml:space="preserve"> do tratamento</w:t>
            </w:r>
            <w:proofErr w:type="gramStart"/>
            <w:r w:rsidRPr="00137DD2">
              <w:rPr>
                <w:rFonts w:eastAsia="Times New Roman"/>
                <w:sz w:val="20"/>
                <w:szCs w:val="20"/>
                <w:lang w:eastAsia="pt-BR"/>
              </w:rPr>
              <w:t xml:space="preserve"> “</w:t>
            </w:r>
            <w:proofErr w:type="gramEnd"/>
            <w:r w:rsidRPr="00137DD2">
              <w:rPr>
                <w:rFonts w:eastAsia="Times New Roman"/>
                <w:sz w:val="20"/>
                <w:szCs w:val="20"/>
                <w:lang w:eastAsia="pt-BR"/>
              </w:rPr>
              <w:t>) devem ser definidos, ou a introdução deve ser escrita de outra maneira.</w:t>
            </w:r>
          </w:p>
          <w:p w:rsidR="00137DD2" w:rsidRPr="00137DD2" w:rsidRDefault="00137DD2" w:rsidP="0014269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137DD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96" w:type="dxa"/>
          </w:tcPr>
          <w:p w:rsidR="00137DD2" w:rsidRPr="00137DD2" w:rsidRDefault="00137DD2" w:rsidP="00137D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Expressões definidas no texto.</w:t>
            </w:r>
          </w:p>
        </w:tc>
      </w:tr>
      <w:tr w:rsidR="00137DD2" w:rsidRPr="00137DD2" w:rsidTr="00137DD2">
        <w:trPr>
          <w:trHeight w:val="742"/>
        </w:trPr>
        <w:tc>
          <w:tcPr>
            <w:tcW w:w="4724" w:type="dxa"/>
          </w:tcPr>
          <w:p w:rsidR="00137DD2" w:rsidRPr="00137DD2" w:rsidRDefault="00137DD2" w:rsidP="001426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137DD2">
              <w:rPr>
                <w:rFonts w:eastAsia="Times New Roman"/>
                <w:sz w:val="20"/>
                <w:szCs w:val="20"/>
                <w:lang w:eastAsia="pt-BR"/>
              </w:rPr>
              <w:t xml:space="preserve">5 – Por que os valores da tabela 6 são tão diferentes da tabela 1. Qual é a variável dependente usada nas estimações?  </w:t>
            </w:r>
          </w:p>
          <w:p w:rsidR="00137DD2" w:rsidRPr="00137DD2" w:rsidRDefault="00137DD2" w:rsidP="0014269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137DD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96" w:type="dxa"/>
          </w:tcPr>
          <w:p w:rsidR="00137DD2" w:rsidRPr="00137DD2" w:rsidRDefault="00137DD2" w:rsidP="001426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A nota de rodapé 17 informa que a variável dependente foi padronizada para que os resultados possam ser analisados em termos de desvio-padrão.</w:t>
            </w:r>
          </w:p>
        </w:tc>
      </w:tr>
      <w:tr w:rsidR="00137DD2" w:rsidRPr="00137DD2" w:rsidTr="00137DD2">
        <w:trPr>
          <w:trHeight w:val="1495"/>
        </w:trPr>
        <w:tc>
          <w:tcPr>
            <w:tcW w:w="4724" w:type="dxa"/>
          </w:tcPr>
          <w:p w:rsidR="00137DD2" w:rsidRPr="00137DD2" w:rsidRDefault="00137DD2" w:rsidP="001426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137DD2">
              <w:rPr>
                <w:rFonts w:eastAsia="Times New Roman"/>
                <w:sz w:val="20"/>
                <w:szCs w:val="20"/>
                <w:lang w:eastAsia="pt-BR"/>
              </w:rPr>
              <w:lastRenderedPageBreak/>
              <w:t>Outras questões:</w:t>
            </w:r>
          </w:p>
          <w:p w:rsidR="00137DD2" w:rsidRPr="00137DD2" w:rsidRDefault="00137DD2" w:rsidP="001426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137DD2">
              <w:rPr>
                <w:rFonts w:eastAsia="Times New Roman"/>
                <w:sz w:val="20"/>
                <w:szCs w:val="20"/>
                <w:lang w:eastAsia="pt-BR"/>
              </w:rPr>
              <w:t>6 - Na página 4, acho que não precisa do trecho adicionado “Mas se pode salientar que esse método é criticado devido possibilidade de a identificação de um determinado intervalo ser considerada sem utilidade ou ser informativo apenas para grandes amostras (</w:t>
            </w:r>
            <w:proofErr w:type="spellStart"/>
            <w:r w:rsidRPr="00137DD2">
              <w:rPr>
                <w:rFonts w:eastAsia="Times New Roman"/>
                <w:sz w:val="20"/>
                <w:szCs w:val="20"/>
                <w:lang w:eastAsia="pt-BR"/>
              </w:rPr>
              <w:t>Imbens</w:t>
            </w:r>
            <w:proofErr w:type="spellEnd"/>
            <w:r w:rsidRPr="00137DD2">
              <w:rPr>
                <w:rFonts w:eastAsia="Times New Roman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137DD2">
              <w:rPr>
                <w:rFonts w:eastAsia="Times New Roman"/>
                <w:sz w:val="20"/>
                <w:szCs w:val="20"/>
                <w:lang w:eastAsia="pt-BR"/>
              </w:rPr>
              <w:t>Woodridge</w:t>
            </w:r>
            <w:proofErr w:type="spellEnd"/>
            <w:r w:rsidRPr="00137DD2">
              <w:rPr>
                <w:rFonts w:eastAsia="Times New Roman"/>
                <w:sz w:val="20"/>
                <w:szCs w:val="20"/>
                <w:lang w:eastAsia="pt-BR"/>
              </w:rPr>
              <w:t>, 2009)”.</w:t>
            </w:r>
          </w:p>
          <w:p w:rsidR="00137DD2" w:rsidRPr="00137DD2" w:rsidRDefault="00137DD2" w:rsidP="001426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137DD2">
              <w:rPr>
                <w:rFonts w:eastAsia="Times New Roman"/>
                <w:sz w:val="20"/>
                <w:szCs w:val="20"/>
                <w:lang w:eastAsia="pt-BR"/>
              </w:rPr>
              <w:t>Isso já aparece na discussão metodológica, e acho que é suficiente.</w:t>
            </w:r>
          </w:p>
          <w:p w:rsidR="00137DD2" w:rsidRPr="00137DD2" w:rsidRDefault="00137DD2" w:rsidP="0014269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137DD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96" w:type="dxa"/>
          </w:tcPr>
          <w:p w:rsidR="00137DD2" w:rsidRPr="00137DD2" w:rsidRDefault="00137DD2" w:rsidP="001426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Retirado.</w:t>
            </w:r>
          </w:p>
        </w:tc>
      </w:tr>
      <w:tr w:rsidR="00137DD2" w:rsidRPr="00137DD2" w:rsidTr="00137DD2">
        <w:tc>
          <w:tcPr>
            <w:tcW w:w="4724" w:type="dxa"/>
          </w:tcPr>
          <w:p w:rsidR="00137DD2" w:rsidRPr="00137DD2" w:rsidRDefault="00137DD2" w:rsidP="00137D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137DD2">
              <w:rPr>
                <w:rFonts w:eastAsia="Times New Roman"/>
                <w:sz w:val="20"/>
                <w:szCs w:val="20"/>
                <w:lang w:eastAsia="pt-BR"/>
              </w:rPr>
              <w:t>7 – Não precisa se preocupar em rodar nada de novo, mas apenas alterar o texto na página 9, pois já existem dados mais novos do SAEB.</w:t>
            </w:r>
          </w:p>
          <w:p w:rsidR="00137DD2" w:rsidRPr="00137DD2" w:rsidRDefault="00137DD2" w:rsidP="001426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96" w:type="dxa"/>
          </w:tcPr>
          <w:p w:rsidR="00137DD2" w:rsidRPr="00137DD2" w:rsidRDefault="00137DD2" w:rsidP="00137D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Corrigido.</w:t>
            </w:r>
          </w:p>
        </w:tc>
      </w:tr>
    </w:tbl>
    <w:p w:rsidR="00137DD2" w:rsidRPr="00137DD2" w:rsidRDefault="00137DD2" w:rsidP="00137DD2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  <w:r w:rsidRPr="00137DD2">
        <w:rPr>
          <w:rFonts w:eastAsia="Times New Roman"/>
          <w:color w:val="1F497D"/>
          <w:sz w:val="20"/>
          <w:szCs w:val="20"/>
          <w:lang w:eastAsia="pt-BR"/>
        </w:rPr>
        <w:t> </w:t>
      </w:r>
    </w:p>
    <w:p w:rsidR="002A0A9D" w:rsidRDefault="002A0A9D"/>
    <w:sectPr w:rsidR="002A0A9D" w:rsidSect="002A0A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37DD2"/>
    <w:rsid w:val="00137DD2"/>
    <w:rsid w:val="002A0A9D"/>
    <w:rsid w:val="005F451F"/>
    <w:rsid w:val="008C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51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F451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F4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451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5F4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5F451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5F451F"/>
    <w:pPr>
      <w:spacing w:after="100"/>
      <w:ind w:left="220"/>
    </w:pPr>
    <w:rPr>
      <w:rFonts w:asciiTheme="minorHAnsi" w:eastAsiaTheme="minorEastAsia" w:hAnsiTheme="minorHAnsi" w:cstheme="minorBidi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5F451F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Legenda">
    <w:name w:val="caption"/>
    <w:basedOn w:val="Normal"/>
    <w:next w:val="Normal"/>
    <w:uiPriority w:val="35"/>
    <w:unhideWhenUsed/>
    <w:qFormat/>
    <w:rsid w:val="005F451F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5F451F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5F451F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F451F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table" w:styleId="Tabelacomgrade">
    <w:name w:val="Table Grid"/>
    <w:basedOn w:val="Tabelanormal"/>
    <w:uiPriority w:val="59"/>
    <w:rsid w:val="00137D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1</cp:revision>
  <dcterms:created xsi:type="dcterms:W3CDTF">2013-12-30T17:19:00Z</dcterms:created>
  <dcterms:modified xsi:type="dcterms:W3CDTF">2013-12-30T17:29:00Z</dcterms:modified>
</cp:coreProperties>
</file>