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4C" w:rsidRDefault="0096314C" w:rsidP="00D271D9">
      <w:pPr>
        <w:pStyle w:val="BNDES"/>
        <w:jc w:val="center"/>
        <w:rPr>
          <w:b/>
          <w:bCs/>
        </w:rPr>
      </w:pPr>
      <w:r w:rsidRPr="00950C9A">
        <w:rPr>
          <w:b/>
          <w:bCs/>
        </w:rPr>
        <w:t>DEMONSTRAÇÃO DA EQUAÇÃO 9</w:t>
      </w:r>
    </w:p>
    <w:p w:rsidR="0096314C" w:rsidRDefault="0096314C" w:rsidP="00D271D9">
      <w:pPr>
        <w:pStyle w:val="BNDES"/>
        <w:jc w:val="center"/>
      </w:pPr>
    </w:p>
    <w:p w:rsidR="0096314C" w:rsidRPr="004E66E7" w:rsidRDefault="0096314C" w:rsidP="00785C1E">
      <w:pPr>
        <w:pStyle w:val="BNDES"/>
        <w:jc w:val="center"/>
        <w:rPr>
          <w:i/>
          <w:iCs/>
        </w:rPr>
      </w:pPr>
      <w:r>
        <w:rPr>
          <w:i/>
          <w:iCs/>
        </w:rPr>
        <w:t>Fórmula da a</w:t>
      </w:r>
      <w:r w:rsidRPr="004E66E7">
        <w:rPr>
          <w:i/>
          <w:iCs/>
        </w:rPr>
        <w:t>líquota que iguala o valor presente dos benefícios concedidos no âmbito do art. 17 da Lei 12.618/12 ao valor presente das contribuições arrecadadas para custear esse benefício</w:t>
      </w:r>
    </w:p>
    <w:p w:rsidR="0096314C" w:rsidRDefault="0096314C" w:rsidP="0043400B">
      <w:pPr>
        <w:pStyle w:val="BNDES"/>
      </w:pPr>
    </w:p>
    <w:p w:rsidR="0096314C" w:rsidRDefault="0096314C" w:rsidP="0043400B">
      <w:pPr>
        <w:pStyle w:val="BNDES"/>
      </w:pPr>
      <w:r>
        <w:t>Seja:</w:t>
      </w:r>
    </w:p>
    <w:p w:rsidR="0096314C" w:rsidRDefault="0096314C" w:rsidP="0043400B">
      <w:pPr>
        <w:pStyle w:val="BNDES"/>
      </w:pPr>
    </w:p>
    <w:p w:rsidR="0096314C" w:rsidRPr="00CF3E3A" w:rsidRDefault="0096314C" w:rsidP="003C06E0">
      <w:pPr>
        <w:spacing w:line="360" w:lineRule="auto"/>
        <w:ind w:left="1000" w:hanging="1000"/>
        <w:jc w:val="both"/>
      </w:pPr>
      <w:r w:rsidRPr="00CF3E3A">
        <w:rPr>
          <w:position w:val="-6"/>
        </w:rPr>
        <w:object w:dxaOrig="22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0.5pt" o:ole="" o:allowoverlap="f">
            <v:imagedata r:id="rId5" o:title=""/>
          </v:shape>
          <o:OLEObject Type="Embed" ProgID="Equation.3" ShapeID="_x0000_i1025" DrawAspect="Content" ObjectID="_1402393747" r:id="rId6"/>
        </w:object>
      </w:r>
      <w:r>
        <w:tab/>
        <w:t xml:space="preserve">= </w:t>
      </w:r>
      <w:r w:rsidRPr="00CF3E3A">
        <w:t xml:space="preserve">alíquota contributiva de equilíbrio dos participantes do fundo incidente sobre a parcela da remuneração que excede o </w:t>
      </w:r>
      <w:r>
        <w:t>t</w:t>
      </w:r>
      <w:r w:rsidRPr="00CF3E3A">
        <w:t>eto do INSS</w:t>
      </w:r>
      <w:r>
        <w:t>.</w:t>
      </w:r>
    </w:p>
    <w:p w:rsidR="0096314C" w:rsidRDefault="0096314C" w:rsidP="003C06E0">
      <w:pPr>
        <w:spacing w:line="360" w:lineRule="auto"/>
        <w:ind w:left="1000" w:hanging="1000"/>
        <w:jc w:val="both"/>
      </w:pPr>
      <w:r w:rsidRPr="00CF3E3A">
        <w:rPr>
          <w:position w:val="-4"/>
        </w:rPr>
        <w:object w:dxaOrig="220" w:dyaOrig="260">
          <v:shape id="_x0000_i1026" type="#_x0000_t75" style="width:10.5pt;height:12.75pt" o:ole="" o:allowoverlap="f">
            <v:imagedata r:id="rId7" o:title=""/>
          </v:shape>
          <o:OLEObject Type="Embed" ProgID="Equation.3" ShapeID="_x0000_i1026" DrawAspect="Content" ObjectID="_1402393748" r:id="rId8"/>
        </w:object>
      </w:r>
      <w:r w:rsidRPr="00CF3E3A">
        <w:t xml:space="preserve"> </w:t>
      </w:r>
      <w:r w:rsidRPr="00CF3E3A">
        <w:tab/>
        <w:t xml:space="preserve">= </w:t>
      </w:r>
      <w:r>
        <w:t>p</w:t>
      </w:r>
      <w:r w:rsidRPr="00CF3E3A">
        <w:t xml:space="preserve">ercentual de participantes do fundo que não possuem direito à aposentadoria especial. </w:t>
      </w:r>
      <w:r>
        <w:t xml:space="preserve">Adotou-se, </w:t>
      </w:r>
      <w:r w:rsidRPr="00CF3E3A">
        <w:t>para essa premissa, o percentual de 45%</w:t>
      </w:r>
      <w:r>
        <w:t>.</w:t>
      </w:r>
    </w:p>
    <w:p w:rsidR="0096314C" w:rsidRPr="00CF3E3A" w:rsidRDefault="0096314C" w:rsidP="003C06E0">
      <w:pPr>
        <w:spacing w:line="360" w:lineRule="auto"/>
        <w:ind w:left="1000" w:hanging="1000"/>
        <w:jc w:val="both"/>
      </w:pPr>
      <w:r w:rsidRPr="00CF3E3A">
        <w:rPr>
          <w:position w:val="-4"/>
        </w:rPr>
        <w:object w:dxaOrig="260" w:dyaOrig="260">
          <v:shape id="_x0000_i1027" type="#_x0000_t75" style="width:12.75pt;height:12.75pt" o:ole="">
            <v:imagedata r:id="rId9" o:title=""/>
          </v:shape>
          <o:OLEObject Type="Embed" ProgID="Equation.3" ShapeID="_x0000_i1027" DrawAspect="Content" ObjectID="_1402393749" r:id="rId10"/>
        </w:object>
      </w:r>
      <w:r>
        <w:t xml:space="preserve"> </w:t>
      </w:r>
      <w:r>
        <w:tab/>
        <w:t>= p</w:t>
      </w:r>
      <w:r w:rsidRPr="00CF3E3A">
        <w:t>ercentual de participantes do fundo que possuem direito à aposentadoria especial. Adotou-se, para essa premissa, percentual de 55%</w:t>
      </w:r>
      <w:r>
        <w:t>.</w:t>
      </w:r>
      <w:r w:rsidRPr="00CF3E3A">
        <w:t xml:space="preserve"> </w:t>
      </w:r>
    </w:p>
    <w:p w:rsidR="0096314C" w:rsidRDefault="0096314C" w:rsidP="003C06E0">
      <w:pPr>
        <w:spacing w:line="360" w:lineRule="auto"/>
        <w:ind w:left="1000" w:hanging="1000"/>
        <w:jc w:val="both"/>
      </w:pPr>
      <w:r w:rsidRPr="00CF3E3A">
        <w:rPr>
          <w:position w:val="-10"/>
        </w:rPr>
        <w:object w:dxaOrig="840" w:dyaOrig="340">
          <v:shape id="_x0000_i1028" type="#_x0000_t75" style="width:41.25pt;height:16.5pt" o:ole="">
            <v:imagedata r:id="rId11" o:title=""/>
          </v:shape>
          <o:OLEObject Type="Embed" ProgID="Equation.3" ShapeID="_x0000_i1028" DrawAspect="Content" ObjectID="_1402393750" r:id="rId12"/>
        </w:object>
      </w:r>
      <w:r w:rsidRPr="00CF3E3A">
        <w:tab/>
        <w:t xml:space="preserve">= </w:t>
      </w:r>
      <w:r>
        <w:t>valor presente das parcelas dos salários que excedem o teto do INSS</w:t>
      </w:r>
      <w:r w:rsidRPr="00CF3E3A">
        <w:t xml:space="preserve"> dos participantes do fundo que </w:t>
      </w:r>
      <w:r>
        <w:t xml:space="preserve">não têm </w:t>
      </w:r>
      <w:r w:rsidRPr="00CF3E3A">
        <w:t>direito à aposentadoria especial</w:t>
      </w:r>
      <w:r>
        <w:t>.</w:t>
      </w:r>
    </w:p>
    <w:p w:rsidR="0096314C" w:rsidRPr="00CF3E3A" w:rsidRDefault="0096314C" w:rsidP="003C06E0">
      <w:pPr>
        <w:spacing w:line="360" w:lineRule="auto"/>
        <w:ind w:left="1000" w:hanging="1000"/>
        <w:jc w:val="both"/>
      </w:pPr>
      <w:r w:rsidRPr="00393C2B">
        <w:rPr>
          <w:position w:val="-10"/>
        </w:rPr>
        <w:object w:dxaOrig="859" w:dyaOrig="340">
          <v:shape id="_x0000_i1029" type="#_x0000_t75" style="width:42pt;height:16.5pt" o:ole="">
            <v:imagedata r:id="rId13" o:title=""/>
          </v:shape>
          <o:OLEObject Type="Embed" ProgID="Equation.3" ShapeID="_x0000_i1029" DrawAspect="Content" ObjectID="_1402393751" r:id="rId14"/>
        </w:object>
      </w:r>
      <w:r w:rsidRPr="00CF3E3A">
        <w:tab/>
        <w:t xml:space="preserve">= </w:t>
      </w:r>
      <w:r>
        <w:t>v</w:t>
      </w:r>
      <w:r w:rsidRPr="00CF3E3A">
        <w:t xml:space="preserve">alor presente </w:t>
      </w:r>
      <w:r>
        <w:t>das parcelas dos salários que excedem o teto do INSS</w:t>
      </w:r>
      <w:r w:rsidRPr="00CF3E3A">
        <w:t xml:space="preserve"> dos participantes do fundo que </w:t>
      </w:r>
      <w:r>
        <w:t>têm</w:t>
      </w:r>
      <w:r w:rsidRPr="00CF3E3A">
        <w:t xml:space="preserve"> direito à aposentadoria especial</w:t>
      </w:r>
      <w:r>
        <w:t>.</w:t>
      </w:r>
    </w:p>
    <w:p w:rsidR="0096314C" w:rsidRDefault="0096314C" w:rsidP="003C06E0">
      <w:pPr>
        <w:spacing w:line="360" w:lineRule="auto"/>
        <w:ind w:left="1000" w:hanging="1000"/>
        <w:jc w:val="both"/>
      </w:pPr>
      <w:r w:rsidRPr="00CF3E3A">
        <w:rPr>
          <w:position w:val="-10"/>
        </w:rPr>
        <w:object w:dxaOrig="880" w:dyaOrig="340">
          <v:shape id="_x0000_i1030" type="#_x0000_t75" style="width:42.75pt;height:16.5pt" o:ole="">
            <v:imagedata r:id="rId15" o:title=""/>
          </v:shape>
          <o:OLEObject Type="Embed" ProgID="Equation.3" ShapeID="_x0000_i1030" DrawAspect="Content" ObjectID="_1402393752" r:id="rId16"/>
        </w:object>
      </w:r>
      <w:r w:rsidRPr="00CF3E3A">
        <w:t xml:space="preserve"> </w:t>
      </w:r>
      <w:r w:rsidRPr="00CF3E3A">
        <w:tab/>
        <w:t xml:space="preserve">= </w:t>
      </w:r>
      <w:r>
        <w:t>v</w:t>
      </w:r>
      <w:r w:rsidRPr="00CF3E3A">
        <w:t>alor presente da poupança acumulada pelo participante</w:t>
      </w:r>
      <w:r>
        <w:t xml:space="preserve"> elegível ao benefício de aposentadoria especial</w:t>
      </w:r>
      <w:r w:rsidRPr="00CF3E3A">
        <w:t xml:space="preserve">, supondo </w:t>
      </w:r>
      <w:r>
        <w:t xml:space="preserve">que </w:t>
      </w:r>
      <w:r w:rsidRPr="00CF3E3A">
        <w:t>não houvesse contribuições para esse fundo, no momento imedi</w:t>
      </w:r>
      <w:r>
        <w:t>atamente anterior à concessão desse benefício.</w:t>
      </w:r>
    </w:p>
    <w:p w:rsidR="0096314C" w:rsidRPr="00CF3E3A" w:rsidRDefault="0096314C" w:rsidP="003C06E0">
      <w:pPr>
        <w:spacing w:line="360" w:lineRule="auto"/>
        <w:ind w:left="1000" w:hanging="1000"/>
        <w:jc w:val="both"/>
      </w:pPr>
    </w:p>
    <w:p w:rsidR="0096314C" w:rsidRDefault="0096314C" w:rsidP="0043400B">
      <w:pPr>
        <w:pStyle w:val="BNDES"/>
      </w:pPr>
      <w:r>
        <w:t>Tem-se que:</w:t>
      </w:r>
    </w:p>
    <w:p w:rsidR="0096314C" w:rsidRDefault="0096314C" w:rsidP="0043400B">
      <w:pPr>
        <w:pStyle w:val="BNDES"/>
      </w:pPr>
    </w:p>
    <w:p w:rsidR="0096314C" w:rsidRDefault="0096314C" w:rsidP="003C06E0">
      <w:pPr>
        <w:pStyle w:val="BNDES"/>
        <w:numPr>
          <w:ilvl w:val="0"/>
          <w:numId w:val="1"/>
        </w:numPr>
        <w:spacing w:line="360" w:lineRule="auto"/>
      </w:pPr>
      <w:r>
        <w:t>Valor presente do benefício especial</w:t>
      </w:r>
      <w:r w:rsidRPr="00D271D9">
        <w:rPr>
          <w:position w:val="-30"/>
        </w:rPr>
        <w:object w:dxaOrig="3080" w:dyaOrig="720">
          <v:shape id="_x0000_i1031" type="#_x0000_t75" style="width:152.25pt;height:36pt" o:ole="">
            <v:imagedata r:id="rId17" o:title=""/>
          </v:shape>
          <o:OLEObject Type="Embed" ProgID="Equation.3" ShapeID="_x0000_i1031" DrawAspect="Content" ObjectID="_1402393753" r:id="rId18"/>
        </w:object>
      </w:r>
    </w:p>
    <w:p w:rsidR="0096314C" w:rsidRDefault="0096314C" w:rsidP="003C06E0">
      <w:pPr>
        <w:pStyle w:val="BNDES"/>
        <w:numPr>
          <w:ilvl w:val="0"/>
          <w:numId w:val="1"/>
        </w:numPr>
        <w:spacing w:line="360" w:lineRule="auto"/>
      </w:pPr>
      <w:r>
        <w:t xml:space="preserve">Valor presente das contribuições arrecadadas do grupo que não está sujeito ao benefício da aposentadoria especial </w:t>
      </w:r>
      <w:r w:rsidRPr="00247C46">
        <w:rPr>
          <w:position w:val="-10"/>
        </w:rPr>
        <w:object w:dxaOrig="1900" w:dyaOrig="340">
          <v:shape id="_x0000_i1032" type="#_x0000_t75" style="width:93pt;height:17.25pt" o:ole="">
            <v:imagedata r:id="rId19" o:title=""/>
          </v:shape>
          <o:OLEObject Type="Embed" ProgID="Equation.3" ShapeID="_x0000_i1032" DrawAspect="Content" ObjectID="_1402393754" r:id="rId20"/>
        </w:object>
      </w:r>
    </w:p>
    <w:p w:rsidR="0096314C" w:rsidRDefault="0096314C" w:rsidP="003C06E0">
      <w:pPr>
        <w:pStyle w:val="BNDES"/>
        <w:numPr>
          <w:ilvl w:val="0"/>
          <w:numId w:val="1"/>
        </w:numPr>
        <w:spacing w:line="360" w:lineRule="auto"/>
      </w:pPr>
      <w:r>
        <w:t xml:space="preserve">Valor presente das contribuições arrecadadas do grupo que está sujeito ao benefício da aposentadoria especial </w:t>
      </w:r>
      <w:r w:rsidRPr="00BA4A6A">
        <w:rPr>
          <w:position w:val="-10"/>
        </w:rPr>
        <w:object w:dxaOrig="1939" w:dyaOrig="340">
          <v:shape id="_x0000_i1033" type="#_x0000_t75" style="width:95.25pt;height:16.5pt" o:ole="">
            <v:imagedata r:id="rId21" o:title=""/>
          </v:shape>
          <o:OLEObject Type="Embed" ProgID="Equation.3" ShapeID="_x0000_i1033" DrawAspect="Content" ObjectID="_1402393755" r:id="rId22"/>
        </w:object>
      </w:r>
    </w:p>
    <w:p w:rsidR="0096314C" w:rsidRDefault="0096314C" w:rsidP="003C06E0">
      <w:pPr>
        <w:pStyle w:val="BNDES"/>
        <w:spacing w:line="360" w:lineRule="auto"/>
      </w:pPr>
    </w:p>
    <w:p w:rsidR="0096314C" w:rsidRDefault="0096314C" w:rsidP="003C06E0">
      <w:pPr>
        <w:pStyle w:val="BNDES"/>
        <w:spacing w:line="360" w:lineRule="auto"/>
      </w:pPr>
    </w:p>
    <w:p w:rsidR="0096314C" w:rsidRDefault="0096314C" w:rsidP="003C06E0">
      <w:pPr>
        <w:pStyle w:val="BNDES"/>
        <w:spacing w:line="360" w:lineRule="auto"/>
      </w:pPr>
    </w:p>
    <w:p w:rsidR="0096314C" w:rsidRDefault="0096314C" w:rsidP="003C06E0">
      <w:pPr>
        <w:pStyle w:val="BNDES"/>
        <w:spacing w:line="360" w:lineRule="auto"/>
      </w:pPr>
      <w:r>
        <w:t xml:space="preserve">Igualando o valor presente das contribuições (B+C) ao dos benefícios (A), tem-se que: </w:t>
      </w:r>
    </w:p>
    <w:p w:rsidR="0096314C" w:rsidRDefault="0096314C" w:rsidP="003C06E0">
      <w:pPr>
        <w:pStyle w:val="BNDES"/>
        <w:spacing w:line="360" w:lineRule="auto"/>
      </w:pPr>
    </w:p>
    <w:p w:rsidR="0096314C" w:rsidRDefault="0096314C" w:rsidP="003C06E0">
      <w:pPr>
        <w:pStyle w:val="BNDES"/>
        <w:spacing w:line="360" w:lineRule="auto"/>
      </w:pPr>
      <w:r w:rsidRPr="00D64624">
        <w:rPr>
          <w:position w:val="-30"/>
        </w:rPr>
        <w:object w:dxaOrig="6700" w:dyaOrig="720">
          <v:shape id="_x0000_i1034" type="#_x0000_t75" style="width:335.25pt;height:36pt" o:ole="">
            <v:imagedata r:id="rId23" o:title=""/>
          </v:shape>
          <o:OLEObject Type="Embed" ProgID="Equation.3" ShapeID="_x0000_i1034" DrawAspect="Content" ObjectID="_1402393756" r:id="rId24"/>
        </w:object>
      </w:r>
    </w:p>
    <w:p w:rsidR="0096314C" w:rsidRDefault="0096314C" w:rsidP="003C06E0">
      <w:pPr>
        <w:pStyle w:val="BNDES"/>
        <w:spacing w:line="360" w:lineRule="auto"/>
      </w:pPr>
      <w:r w:rsidRPr="0047167A">
        <w:rPr>
          <w:position w:val="-30"/>
        </w:rPr>
        <w:object w:dxaOrig="4140" w:dyaOrig="680">
          <v:shape id="_x0000_i1035" type="#_x0000_t75" style="width:207pt;height:33.75pt" o:ole="" o:allowoverlap="f">
            <v:imagedata r:id="rId25" o:title=""/>
          </v:shape>
          <o:OLEObject Type="Embed" ProgID="Equation.3" ShapeID="_x0000_i1035" DrawAspect="Content" ObjectID="_1402393757" r:id="rId26"/>
        </w:object>
      </w:r>
    </w:p>
    <w:p w:rsidR="0096314C" w:rsidRDefault="0096314C" w:rsidP="003C06E0">
      <w:pPr>
        <w:pStyle w:val="BNDES"/>
        <w:spacing w:line="360" w:lineRule="auto"/>
      </w:pPr>
      <w:r w:rsidRPr="001270F1">
        <w:rPr>
          <w:position w:val="-30"/>
        </w:rPr>
        <w:object w:dxaOrig="3840" w:dyaOrig="680">
          <v:shape id="_x0000_i1036" type="#_x0000_t75" style="width:192pt;height:33.75pt" o:ole="" o:allowoverlap="f">
            <v:imagedata r:id="rId27" o:title=""/>
          </v:shape>
          <o:OLEObject Type="Embed" ProgID="Equation.3" ShapeID="_x0000_i1036" DrawAspect="Content" ObjectID="_1402393758" r:id="rId28"/>
        </w:object>
      </w:r>
    </w:p>
    <w:p w:rsidR="0096314C" w:rsidRDefault="0096314C" w:rsidP="003C06E0">
      <w:pPr>
        <w:pStyle w:val="BNDES"/>
        <w:spacing w:line="360" w:lineRule="auto"/>
      </w:pPr>
      <w:r w:rsidRPr="0096511D">
        <w:rPr>
          <w:position w:val="-30"/>
        </w:rPr>
        <w:object w:dxaOrig="3840" w:dyaOrig="680">
          <v:shape id="_x0000_i1037" type="#_x0000_t75" style="width:192pt;height:33.75pt" o:ole="" o:allowoverlap="f">
            <v:imagedata r:id="rId29" o:title=""/>
          </v:shape>
          <o:OLEObject Type="Embed" ProgID="Equation.3" ShapeID="_x0000_i1037" DrawAspect="Content" ObjectID="_1402393759" r:id="rId30"/>
        </w:object>
      </w:r>
    </w:p>
    <w:p w:rsidR="0096314C" w:rsidRDefault="0096314C" w:rsidP="003C06E0">
      <w:pPr>
        <w:pStyle w:val="BNDES"/>
        <w:spacing w:line="360" w:lineRule="auto"/>
      </w:pPr>
    </w:p>
    <w:p w:rsidR="0096314C" w:rsidRDefault="0096314C" w:rsidP="003C06E0">
      <w:pPr>
        <w:pStyle w:val="BNDES"/>
        <w:spacing w:line="360" w:lineRule="auto"/>
      </w:pPr>
      <w:r>
        <w:t>E, finalmente:</w:t>
      </w:r>
    </w:p>
    <w:p w:rsidR="0096314C" w:rsidRPr="00F9171D" w:rsidRDefault="0096314C" w:rsidP="003C06E0">
      <w:pPr>
        <w:pStyle w:val="BNDES"/>
        <w:spacing w:line="360" w:lineRule="auto"/>
      </w:pPr>
      <w:r w:rsidRPr="00DF30C9">
        <w:rPr>
          <w:position w:val="-60"/>
        </w:rPr>
        <w:object w:dxaOrig="3860" w:dyaOrig="980">
          <v:shape id="_x0000_i1038" type="#_x0000_t75" style="width:191.25pt;height:48.75pt" o:ole="" o:allowoverlap="f">
            <v:imagedata r:id="rId31" o:title=""/>
          </v:shape>
          <o:OLEObject Type="Embed" ProgID="Equation.3" ShapeID="_x0000_i1038" DrawAspect="Content" ObjectID="_1402393760" r:id="rId32"/>
        </w:object>
      </w:r>
    </w:p>
    <w:sectPr w:rsidR="0096314C" w:rsidRPr="00F9171D" w:rsidSect="007737C8">
      <w:pgSz w:w="11907" w:h="16840" w:code="9"/>
      <w:pgMar w:top="1418" w:right="1701" w:bottom="1418" w:left="1701" w:header="709" w:footer="709" w:gutter="0"/>
      <w:cols w:space="708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timu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8186F"/>
    <w:multiLevelType w:val="hybridMultilevel"/>
    <w:tmpl w:val="6A7812EE"/>
    <w:lvl w:ilvl="0" w:tplc="7A9E6558">
      <w:start w:val="1"/>
      <w:numFmt w:val="upperLetter"/>
      <w:lvlText w:val="(%1)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6"/>
  <w:removePersonalInformation/>
  <w:embedSystemFonts/>
  <w:stylePaneFormatFilter w:val="3F01"/>
  <w:defaultTabStop w:val="709"/>
  <w:hyphenationZone w:val="425"/>
  <w:clickAndTypeStyle w:val="BNDES"/>
  <w:drawingGridHorizontalSpacing w:val="0"/>
  <w:displayHorizontalDrawingGridEvery w:val="2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71D"/>
    <w:rsid w:val="00025AF7"/>
    <w:rsid w:val="000C04F8"/>
    <w:rsid w:val="001270F1"/>
    <w:rsid w:val="00247C46"/>
    <w:rsid w:val="0027169D"/>
    <w:rsid w:val="00393C2B"/>
    <w:rsid w:val="003C06E0"/>
    <w:rsid w:val="0043400B"/>
    <w:rsid w:val="0047167A"/>
    <w:rsid w:val="004E66E7"/>
    <w:rsid w:val="00563291"/>
    <w:rsid w:val="00673DF1"/>
    <w:rsid w:val="007737C8"/>
    <w:rsid w:val="0078281C"/>
    <w:rsid w:val="00785C1E"/>
    <w:rsid w:val="007B5E9D"/>
    <w:rsid w:val="007C1C31"/>
    <w:rsid w:val="0080695A"/>
    <w:rsid w:val="008C7ACF"/>
    <w:rsid w:val="00950C9A"/>
    <w:rsid w:val="0096314C"/>
    <w:rsid w:val="0096511D"/>
    <w:rsid w:val="00A93F59"/>
    <w:rsid w:val="00B0441C"/>
    <w:rsid w:val="00B83671"/>
    <w:rsid w:val="00BA4A6A"/>
    <w:rsid w:val="00CF3E3A"/>
    <w:rsid w:val="00D271D9"/>
    <w:rsid w:val="00D533AE"/>
    <w:rsid w:val="00D64624"/>
    <w:rsid w:val="00D748C1"/>
    <w:rsid w:val="00DF30C9"/>
    <w:rsid w:val="00E751E5"/>
    <w:rsid w:val="00EC66D2"/>
    <w:rsid w:val="00ED182E"/>
    <w:rsid w:val="00F91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4F8"/>
    <w:rPr>
      <w:rFonts w:ascii="Optimum" w:hAnsi="Optimum" w:cs="Optimum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NDES">
    <w:name w:val="BNDES"/>
    <w:basedOn w:val="Normal"/>
    <w:uiPriority w:val="99"/>
    <w:rsid w:val="0043400B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2</Pages>
  <Words>228</Words>
  <Characters>1294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Demonstração da Equação 9 (Alíquota que iguala o valor presente dos benefícios concedidos no âmbito do art</dc:title>
  <dc:subject/>
  <dc:creator/>
  <cp:keywords/>
  <dc:description/>
  <cp:lastModifiedBy/>
  <cp:revision>4</cp:revision>
  <dcterms:created xsi:type="dcterms:W3CDTF">2012-06-28T15:17:00Z</dcterms:created>
  <dcterms:modified xsi:type="dcterms:W3CDTF">2012-06-28T16:02:00Z</dcterms:modified>
</cp:coreProperties>
</file>