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E39D4" w14:textId="11EC7B5F" w:rsidR="00743989" w:rsidRPr="00853881" w:rsidRDefault="00EC70BA" w:rsidP="003C3441">
      <w:pPr>
        <w:spacing w:after="0" w:line="360" w:lineRule="auto"/>
        <w:jc w:val="both"/>
        <w:rPr>
          <w:rFonts w:ascii="Times New Roman" w:hAnsi="Times New Roman" w:cs="Times New Roman"/>
          <w:b/>
          <w:sz w:val="24"/>
          <w:szCs w:val="24"/>
        </w:rPr>
      </w:pPr>
      <w:r w:rsidRPr="00853881">
        <w:rPr>
          <w:rFonts w:ascii="Times New Roman" w:hAnsi="Times New Roman" w:cs="Times New Roman"/>
          <w:b/>
          <w:sz w:val="24"/>
          <w:szCs w:val="24"/>
        </w:rPr>
        <w:t xml:space="preserve">Expansão da </w:t>
      </w:r>
      <w:r w:rsidR="00847A20" w:rsidRPr="00853881">
        <w:rPr>
          <w:rFonts w:ascii="Times New Roman" w:hAnsi="Times New Roman" w:cs="Times New Roman"/>
          <w:b/>
          <w:sz w:val="24"/>
          <w:szCs w:val="24"/>
        </w:rPr>
        <w:t xml:space="preserve">Escolaridade </w:t>
      </w:r>
      <w:r w:rsidR="00997019" w:rsidRPr="00853881">
        <w:rPr>
          <w:rFonts w:ascii="Times New Roman" w:hAnsi="Times New Roman" w:cs="Times New Roman"/>
          <w:b/>
          <w:sz w:val="24"/>
          <w:szCs w:val="24"/>
        </w:rPr>
        <w:t>e</w:t>
      </w:r>
      <w:r w:rsidR="00743989" w:rsidRPr="00853881">
        <w:rPr>
          <w:rFonts w:ascii="Times New Roman" w:hAnsi="Times New Roman" w:cs="Times New Roman"/>
          <w:b/>
          <w:sz w:val="24"/>
          <w:szCs w:val="24"/>
        </w:rPr>
        <w:t xml:space="preserve"> </w:t>
      </w:r>
      <w:r w:rsidRPr="00853881">
        <w:rPr>
          <w:rFonts w:ascii="Times New Roman" w:hAnsi="Times New Roman" w:cs="Times New Roman"/>
          <w:b/>
          <w:sz w:val="24"/>
          <w:szCs w:val="24"/>
        </w:rPr>
        <w:t xml:space="preserve">Redução da </w:t>
      </w:r>
      <w:r w:rsidR="00847A20" w:rsidRPr="00853881">
        <w:rPr>
          <w:rFonts w:ascii="Times New Roman" w:hAnsi="Times New Roman" w:cs="Times New Roman"/>
          <w:b/>
          <w:sz w:val="24"/>
          <w:szCs w:val="24"/>
        </w:rPr>
        <w:t>Desigualdade Regional de Renda</w:t>
      </w:r>
      <w:r w:rsidR="00997019" w:rsidRPr="00853881">
        <w:rPr>
          <w:rFonts w:ascii="Times New Roman" w:hAnsi="Times New Roman" w:cs="Times New Roman"/>
          <w:b/>
          <w:sz w:val="24"/>
          <w:szCs w:val="24"/>
        </w:rPr>
        <w:t xml:space="preserve"> no Brasil</w:t>
      </w:r>
      <w:r w:rsidRPr="00853881">
        <w:rPr>
          <w:rFonts w:ascii="Times New Roman" w:hAnsi="Times New Roman" w:cs="Times New Roman"/>
          <w:b/>
          <w:sz w:val="24"/>
          <w:szCs w:val="24"/>
        </w:rPr>
        <w:t xml:space="preserve"> entre 1995 e 2011</w:t>
      </w:r>
      <w:r w:rsidR="00997019" w:rsidRPr="00853881">
        <w:rPr>
          <w:rFonts w:ascii="Times New Roman" w:hAnsi="Times New Roman" w:cs="Times New Roman"/>
          <w:b/>
          <w:sz w:val="24"/>
          <w:szCs w:val="24"/>
        </w:rPr>
        <w:t xml:space="preserve">: </w:t>
      </w:r>
      <w:r w:rsidRPr="00853881">
        <w:rPr>
          <w:rFonts w:ascii="Times New Roman" w:hAnsi="Times New Roman" w:cs="Times New Roman"/>
          <w:b/>
          <w:sz w:val="24"/>
          <w:szCs w:val="24"/>
        </w:rPr>
        <w:t>Progressos Recentes e Desafios Presentes</w:t>
      </w:r>
    </w:p>
    <w:p w14:paraId="478D2DA4" w14:textId="77777777" w:rsidR="00743989" w:rsidRPr="00274ECC" w:rsidRDefault="00743989" w:rsidP="003C3441">
      <w:pPr>
        <w:spacing w:after="0" w:line="360" w:lineRule="auto"/>
        <w:jc w:val="both"/>
        <w:rPr>
          <w:rFonts w:ascii="Times New Roman" w:hAnsi="Times New Roman" w:cs="Times New Roman"/>
          <w:color w:val="000000" w:themeColor="text1"/>
          <w:sz w:val="24"/>
          <w:szCs w:val="24"/>
        </w:rPr>
      </w:pPr>
    </w:p>
    <w:p w14:paraId="0E1CCC31" w14:textId="77777777" w:rsidR="00743989" w:rsidRPr="00274ECC" w:rsidRDefault="00743989" w:rsidP="003C3441">
      <w:pPr>
        <w:spacing w:after="0" w:line="360" w:lineRule="auto"/>
        <w:jc w:val="both"/>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Resumo</w:t>
      </w:r>
    </w:p>
    <w:p w14:paraId="01D21E97" w14:textId="042CF7ED" w:rsidR="00743989" w:rsidRPr="00274ECC" w:rsidRDefault="00743989" w:rsidP="003C3441">
      <w:pPr>
        <w:spacing w:after="0" w:line="360" w:lineRule="auto"/>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A despeito de seus elevados níveis, tem sido verificada uma queda das disparidades de renda no Brasil desde meados da década de 1990, tanto quando se analisa a desigualdade entre pessoas, quanto entre as regiões (Silveira-Neto e Azzoni, 2012; Soares, 2006; Hoffmann, 2006; Barros et al, 2010). </w:t>
      </w:r>
      <w:r w:rsidR="004318D4">
        <w:rPr>
          <w:rFonts w:ascii="Times New Roman" w:hAnsi="Times New Roman" w:cs="Times New Roman"/>
          <w:color w:val="000000" w:themeColor="text1"/>
          <w:sz w:val="24"/>
          <w:szCs w:val="24"/>
        </w:rPr>
        <w:t>Tal movime</w:t>
      </w:r>
      <w:r w:rsidR="00EC70BA">
        <w:rPr>
          <w:rFonts w:ascii="Times New Roman" w:hAnsi="Times New Roman" w:cs="Times New Roman"/>
          <w:color w:val="000000" w:themeColor="text1"/>
          <w:sz w:val="24"/>
          <w:szCs w:val="24"/>
        </w:rPr>
        <w:t xml:space="preserve">nto de desconcentração regional de renda, além disto, tem sido </w:t>
      </w:r>
      <w:r w:rsidR="004318D4">
        <w:rPr>
          <w:rFonts w:ascii="Times New Roman" w:hAnsi="Times New Roman" w:cs="Times New Roman"/>
          <w:color w:val="000000" w:themeColor="text1"/>
          <w:sz w:val="24"/>
          <w:szCs w:val="24"/>
        </w:rPr>
        <w:t>acompanhado de</w:t>
      </w:r>
      <w:r w:rsidR="00EC70BA">
        <w:rPr>
          <w:rFonts w:ascii="Times New Roman" w:hAnsi="Times New Roman" w:cs="Times New Roman"/>
          <w:color w:val="000000" w:themeColor="text1"/>
          <w:sz w:val="24"/>
          <w:szCs w:val="24"/>
        </w:rPr>
        <w:t xml:space="preserve"> redução das disparidades regionais de escolaridade. </w:t>
      </w:r>
      <w:r w:rsidRPr="00274ECC">
        <w:rPr>
          <w:rFonts w:ascii="Times New Roman" w:hAnsi="Times New Roman" w:cs="Times New Roman"/>
          <w:color w:val="000000" w:themeColor="text1"/>
          <w:sz w:val="24"/>
          <w:szCs w:val="24"/>
        </w:rPr>
        <w:t>Este trabalho tem por objetivo</w:t>
      </w:r>
      <w:r w:rsidR="00EC70BA">
        <w:rPr>
          <w:rFonts w:ascii="Times New Roman" w:hAnsi="Times New Roman" w:cs="Times New Roman"/>
          <w:color w:val="000000" w:themeColor="text1"/>
          <w:sz w:val="24"/>
          <w:szCs w:val="24"/>
        </w:rPr>
        <w:t>, pois,</w:t>
      </w:r>
      <w:r w:rsidRPr="00274ECC">
        <w:rPr>
          <w:rFonts w:ascii="Times New Roman" w:hAnsi="Times New Roman" w:cs="Times New Roman"/>
          <w:color w:val="000000" w:themeColor="text1"/>
          <w:sz w:val="24"/>
          <w:szCs w:val="24"/>
        </w:rPr>
        <w:t xml:space="preserve"> analisar a importância das fontes de rendas do trabalho associadas à escolaridade sobre a queda na desigualdade de renda regional observada entre 1995 e 2011. Os resultados indicam que a dinâmica da renda do trabalho, com destaque para os indivíduos com no mínimo ensino médio completo, e da renda dos programas sociais (Bolsa Família e Benefício de Prestação Continuada) foram as principais responsáveis pela queda da desigualdade no período entre 1995 e 2011. Por outro lado, a dinâmica de distribuição da renda dos indivíduos com ensino superior entre os estados apresentou atuou no sentido de elevar a concentração regional de renda no país.</w:t>
      </w:r>
    </w:p>
    <w:p w14:paraId="74EC2F77" w14:textId="77777777" w:rsidR="00743989" w:rsidRPr="00274ECC" w:rsidRDefault="00743989" w:rsidP="003C3441">
      <w:pPr>
        <w:spacing w:after="0" w:line="360" w:lineRule="auto"/>
        <w:jc w:val="both"/>
        <w:rPr>
          <w:rFonts w:ascii="Times New Roman" w:hAnsi="Times New Roman" w:cs="Times New Roman"/>
          <w:color w:val="000000" w:themeColor="text1"/>
          <w:sz w:val="24"/>
          <w:szCs w:val="24"/>
        </w:rPr>
      </w:pPr>
      <w:r w:rsidRPr="00274ECC">
        <w:rPr>
          <w:rFonts w:ascii="Times New Roman" w:hAnsi="Times New Roman" w:cs="Times New Roman"/>
          <w:b/>
          <w:color w:val="000000" w:themeColor="text1"/>
          <w:sz w:val="24"/>
          <w:szCs w:val="24"/>
        </w:rPr>
        <w:t>Palavras Chave:</w:t>
      </w:r>
      <w:r w:rsidRPr="00274ECC">
        <w:rPr>
          <w:rFonts w:ascii="Times New Roman" w:hAnsi="Times New Roman" w:cs="Times New Roman"/>
          <w:color w:val="000000" w:themeColor="text1"/>
          <w:sz w:val="24"/>
          <w:szCs w:val="24"/>
        </w:rPr>
        <w:t xml:space="preserve"> Desigualdade regional, educação, programas sociais.</w:t>
      </w:r>
    </w:p>
    <w:p w14:paraId="23E5D34F"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42E83778" w14:textId="77777777" w:rsidR="00743989" w:rsidRPr="00274ECC" w:rsidRDefault="00743989" w:rsidP="003C3441">
      <w:pPr>
        <w:spacing w:after="0" w:line="360" w:lineRule="auto"/>
        <w:jc w:val="both"/>
        <w:rPr>
          <w:rFonts w:ascii="Times New Roman" w:hAnsi="Times New Roman" w:cs="Times New Roman"/>
          <w:b/>
          <w:color w:val="000000" w:themeColor="text1"/>
          <w:sz w:val="24"/>
          <w:szCs w:val="24"/>
          <w:lang w:val="en-US"/>
        </w:rPr>
      </w:pPr>
      <w:r w:rsidRPr="00274ECC">
        <w:rPr>
          <w:rFonts w:ascii="Times New Roman" w:hAnsi="Times New Roman" w:cs="Times New Roman"/>
          <w:b/>
          <w:color w:val="000000" w:themeColor="text1"/>
          <w:sz w:val="24"/>
          <w:szCs w:val="24"/>
          <w:lang w:val="en-US"/>
        </w:rPr>
        <w:t>Abstract</w:t>
      </w:r>
    </w:p>
    <w:p w14:paraId="61A4D228" w14:textId="1517117E" w:rsidR="00743989" w:rsidRPr="00274ECC" w:rsidRDefault="00743989" w:rsidP="003C3441">
      <w:pPr>
        <w:spacing w:after="0" w:line="360" w:lineRule="auto"/>
        <w:jc w:val="both"/>
        <w:rPr>
          <w:rFonts w:ascii="Times New Roman" w:hAnsi="Times New Roman" w:cs="Times New Roman"/>
          <w:color w:val="000000" w:themeColor="text1"/>
          <w:sz w:val="24"/>
          <w:szCs w:val="24"/>
          <w:lang w:val="en-US"/>
        </w:rPr>
      </w:pPr>
      <w:r w:rsidRPr="00274ECC">
        <w:rPr>
          <w:rFonts w:ascii="Times New Roman" w:hAnsi="Times New Roman" w:cs="Times New Roman"/>
          <w:color w:val="000000" w:themeColor="text1"/>
          <w:sz w:val="24"/>
          <w:szCs w:val="24"/>
          <w:lang w:val="en-US"/>
        </w:rPr>
        <w:t xml:space="preserve">Among the socioeconomics problems in Brazil, the personal and regional income inequality and the low educational level are notorious. Despite of the high inequality level, it has been observed a permanent fall both in the personal inequality and in the regional inequality since the final of 1990's (Silveira Neto e </w:t>
      </w:r>
      <w:proofErr w:type="spellStart"/>
      <w:r w:rsidRPr="00274ECC">
        <w:rPr>
          <w:rFonts w:ascii="Times New Roman" w:hAnsi="Times New Roman" w:cs="Times New Roman"/>
          <w:color w:val="000000" w:themeColor="text1"/>
          <w:sz w:val="24"/>
          <w:szCs w:val="24"/>
          <w:lang w:val="en-US"/>
        </w:rPr>
        <w:t>Azzoni</w:t>
      </w:r>
      <w:proofErr w:type="spellEnd"/>
      <w:r w:rsidRPr="00274ECC">
        <w:rPr>
          <w:rFonts w:ascii="Times New Roman" w:hAnsi="Times New Roman" w:cs="Times New Roman"/>
          <w:color w:val="000000" w:themeColor="text1"/>
          <w:sz w:val="24"/>
          <w:szCs w:val="24"/>
          <w:lang w:val="en-US"/>
        </w:rPr>
        <w:t xml:space="preserve">, 2012; </w:t>
      </w:r>
      <w:proofErr w:type="spellStart"/>
      <w:r w:rsidRPr="00274ECC">
        <w:rPr>
          <w:rFonts w:ascii="Times New Roman" w:hAnsi="Times New Roman" w:cs="Times New Roman"/>
          <w:color w:val="000000" w:themeColor="text1"/>
          <w:sz w:val="24"/>
          <w:szCs w:val="24"/>
          <w:lang w:val="en-US"/>
        </w:rPr>
        <w:t>Soares</w:t>
      </w:r>
      <w:proofErr w:type="spellEnd"/>
      <w:r w:rsidRPr="00274ECC">
        <w:rPr>
          <w:rFonts w:ascii="Times New Roman" w:hAnsi="Times New Roman" w:cs="Times New Roman"/>
          <w:color w:val="000000" w:themeColor="text1"/>
          <w:sz w:val="24"/>
          <w:szCs w:val="24"/>
          <w:lang w:val="en-US"/>
        </w:rPr>
        <w:t>, 2006; Hoffm</w:t>
      </w:r>
      <w:r w:rsidR="00EC70BA">
        <w:rPr>
          <w:rFonts w:ascii="Times New Roman" w:hAnsi="Times New Roman" w:cs="Times New Roman"/>
          <w:color w:val="000000" w:themeColor="text1"/>
          <w:sz w:val="24"/>
          <w:szCs w:val="24"/>
          <w:lang w:val="en-US"/>
        </w:rPr>
        <w:t xml:space="preserve">ann, 2006; Barros et al, 2010). Besides, there was a simultaneous movement of reduction of regional inequalities of schooling among Brazilian states. </w:t>
      </w:r>
      <w:r w:rsidRPr="00274ECC">
        <w:rPr>
          <w:rFonts w:ascii="Times New Roman" w:hAnsi="Times New Roman" w:cs="Times New Roman"/>
          <w:color w:val="000000" w:themeColor="text1"/>
          <w:sz w:val="24"/>
          <w:szCs w:val="24"/>
          <w:lang w:val="en-US"/>
        </w:rPr>
        <w:t>The aim of this work is</w:t>
      </w:r>
      <w:r w:rsidR="00EC70BA">
        <w:rPr>
          <w:rFonts w:ascii="Times New Roman" w:hAnsi="Times New Roman" w:cs="Times New Roman"/>
          <w:color w:val="000000" w:themeColor="text1"/>
          <w:sz w:val="24"/>
          <w:szCs w:val="24"/>
          <w:lang w:val="en-US"/>
        </w:rPr>
        <w:t>, thus,</w:t>
      </w:r>
      <w:r w:rsidRPr="00274ECC">
        <w:rPr>
          <w:rFonts w:ascii="Times New Roman" w:hAnsi="Times New Roman" w:cs="Times New Roman"/>
          <w:color w:val="000000" w:themeColor="text1"/>
          <w:sz w:val="24"/>
          <w:szCs w:val="24"/>
          <w:lang w:val="en-US"/>
        </w:rPr>
        <w:t xml:space="preserve"> to decompose the regional Gini index to compute the importance of labors income related to the education, and the importance of non-labors income for the fall of inequality observed in the recent years. The results suggest that the labor income, particularly for individuals with at least secondary education, and the incomes from social programs were the responsible for the fall of inequality in the </w:t>
      </w:r>
      <w:r w:rsidRPr="00274ECC">
        <w:rPr>
          <w:rFonts w:ascii="Times New Roman" w:hAnsi="Times New Roman" w:cs="Times New Roman"/>
          <w:color w:val="000000" w:themeColor="text1"/>
          <w:sz w:val="24"/>
          <w:szCs w:val="24"/>
          <w:lang w:val="en-US"/>
        </w:rPr>
        <w:lastRenderedPageBreak/>
        <w:t>period between 1995 and 2011. On the other hand, the dynamic of distribution of income for those with a college degree among the states have been acting to avoid stronger reduction in regional inequality.</w:t>
      </w:r>
    </w:p>
    <w:p w14:paraId="0B1F2106" w14:textId="77777777" w:rsidR="00743989" w:rsidRPr="00274ECC" w:rsidRDefault="00743989" w:rsidP="003C3441">
      <w:pPr>
        <w:spacing w:after="0" w:line="360" w:lineRule="auto"/>
        <w:jc w:val="both"/>
        <w:rPr>
          <w:rFonts w:ascii="Times New Roman" w:hAnsi="Times New Roman" w:cs="Times New Roman"/>
          <w:b/>
          <w:color w:val="000000" w:themeColor="text1"/>
          <w:sz w:val="24"/>
          <w:szCs w:val="24"/>
          <w:lang w:val="en-US"/>
        </w:rPr>
      </w:pPr>
      <w:r w:rsidRPr="00274ECC">
        <w:rPr>
          <w:rFonts w:ascii="Times New Roman" w:hAnsi="Times New Roman" w:cs="Times New Roman"/>
          <w:b/>
          <w:color w:val="000000" w:themeColor="text1"/>
          <w:sz w:val="24"/>
          <w:szCs w:val="24"/>
          <w:lang w:val="en-US"/>
        </w:rPr>
        <w:t xml:space="preserve">Keywords: </w:t>
      </w:r>
      <w:r w:rsidRPr="00274ECC">
        <w:rPr>
          <w:rFonts w:ascii="Times New Roman" w:hAnsi="Times New Roman" w:cs="Times New Roman"/>
          <w:color w:val="000000" w:themeColor="text1"/>
          <w:sz w:val="24"/>
          <w:szCs w:val="24"/>
          <w:lang w:val="en-US"/>
        </w:rPr>
        <w:t>Regional inequality,</w:t>
      </w:r>
      <w:r w:rsidRPr="00274ECC">
        <w:rPr>
          <w:rFonts w:ascii="Times New Roman" w:hAnsi="Times New Roman" w:cs="Times New Roman"/>
          <w:b/>
          <w:color w:val="000000" w:themeColor="text1"/>
          <w:sz w:val="24"/>
          <w:szCs w:val="24"/>
          <w:lang w:val="en-US"/>
        </w:rPr>
        <w:t xml:space="preserve"> </w:t>
      </w:r>
      <w:r w:rsidRPr="00274ECC">
        <w:rPr>
          <w:rFonts w:ascii="Times New Roman" w:hAnsi="Times New Roman" w:cs="Times New Roman"/>
          <w:color w:val="000000" w:themeColor="text1"/>
          <w:sz w:val="24"/>
          <w:szCs w:val="24"/>
          <w:lang w:val="en-US"/>
        </w:rPr>
        <w:t>education, social programs.</w:t>
      </w:r>
    </w:p>
    <w:p w14:paraId="4442AA83" w14:textId="77777777" w:rsidR="00743989" w:rsidRPr="00274ECC" w:rsidRDefault="00743989" w:rsidP="003C3441">
      <w:pPr>
        <w:spacing w:after="0" w:line="360" w:lineRule="auto"/>
        <w:jc w:val="both"/>
        <w:rPr>
          <w:rFonts w:ascii="Times New Roman" w:hAnsi="Times New Roman" w:cs="Times New Roman"/>
          <w:color w:val="000000" w:themeColor="text1"/>
          <w:sz w:val="24"/>
          <w:szCs w:val="24"/>
          <w:lang w:val="en-US"/>
        </w:rPr>
      </w:pPr>
    </w:p>
    <w:p w14:paraId="4C943A6E" w14:textId="77777777" w:rsidR="00743989" w:rsidRPr="00274ECC" w:rsidRDefault="00743989" w:rsidP="003C3441">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Introdução</w:t>
      </w:r>
    </w:p>
    <w:p w14:paraId="6D927BCE" w14:textId="77777777" w:rsidR="00743989" w:rsidRPr="00274ECC" w:rsidRDefault="00743989" w:rsidP="003C3441">
      <w:pPr>
        <w:spacing w:after="0" w:line="360" w:lineRule="auto"/>
        <w:ind w:left="360"/>
        <w:jc w:val="both"/>
        <w:rPr>
          <w:rFonts w:ascii="Times New Roman" w:hAnsi="Times New Roman" w:cs="Times New Roman"/>
          <w:b/>
          <w:color w:val="000000" w:themeColor="text1"/>
          <w:sz w:val="24"/>
          <w:szCs w:val="24"/>
        </w:rPr>
      </w:pPr>
    </w:p>
    <w:p w14:paraId="27A4729E" w14:textId="6ED86404"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Não parece haver dúvidas entre os pesquisadores da realidade social brasileira sobre o progresso do país no que diz respeito à redução da pobreza e redução da desigualdade, uma trajetória de melhoria que se iniciou a partir do fim do período de inflação elevada em meados d</w:t>
      </w:r>
      <w:r w:rsidR="00061240">
        <w:rPr>
          <w:rFonts w:ascii="Times New Roman" w:hAnsi="Times New Roman" w:cs="Times New Roman"/>
          <w:color w:val="000000" w:themeColor="text1"/>
          <w:sz w:val="24"/>
          <w:szCs w:val="24"/>
        </w:rPr>
        <w:t>os anos 1990 e foi intensificada</w:t>
      </w:r>
      <w:r w:rsidRPr="00274ECC">
        <w:rPr>
          <w:rFonts w:ascii="Times New Roman" w:hAnsi="Times New Roman" w:cs="Times New Roman"/>
          <w:color w:val="000000" w:themeColor="text1"/>
          <w:sz w:val="24"/>
          <w:szCs w:val="24"/>
        </w:rPr>
        <w:t xml:space="preserve"> nos anos 2000 (BARROS, </w:t>
      </w:r>
      <w:r w:rsidRPr="00274ECC">
        <w:rPr>
          <w:rFonts w:ascii="Times New Roman" w:hAnsi="Times New Roman" w:cs="Times New Roman"/>
          <w:i/>
          <w:color w:val="000000" w:themeColor="text1"/>
          <w:sz w:val="24"/>
          <w:szCs w:val="24"/>
        </w:rPr>
        <w:t>et al</w:t>
      </w:r>
      <w:r w:rsidRPr="00274ECC">
        <w:rPr>
          <w:rFonts w:ascii="Times New Roman" w:hAnsi="Times New Roman" w:cs="Times New Roman"/>
          <w:color w:val="000000" w:themeColor="text1"/>
          <w:sz w:val="24"/>
          <w:szCs w:val="24"/>
        </w:rPr>
        <w:t>. 2006; SOARES, 2006, HOFFMAN e NEY, 2008; OSÓRIO e SOUZA, 2012; SOUZA, 2103). Diretamente ligadas a estes resultados mais favoráveis do ponto de vista da melhoria das condições de vida dos indivíduos, verifica-se também neste período, como mostraram recentemente Silveira Neto e Azzoni (2011, 2012), uma tendência de diminuição das disparidades regionais de renda entre as unidades federativas do país, fato alentador, dada a conhecida persistência destas disparidades, sobretudo quando se considera a livre mobilidade espacial de indivíduos (AZZONI, 1997).</w:t>
      </w:r>
    </w:p>
    <w:p w14:paraId="6ACDD6B6" w14:textId="7E851100"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Na </w:t>
      </w:r>
      <w:r w:rsidRPr="00952C79">
        <w:rPr>
          <w:rFonts w:ascii="Times New Roman" w:hAnsi="Times New Roman" w:cs="Times New Roman"/>
          <w:color w:val="000000" w:themeColor="text1"/>
          <w:sz w:val="24"/>
          <w:szCs w:val="24"/>
        </w:rPr>
        <w:t xml:space="preserve">verdade, como mostraram Silveira Neto e Azzoni (2012), tal redução recente das disparidades regionais de renda parece ser explicada tanto por movimentos associados </w:t>
      </w:r>
      <w:r w:rsidR="00061240" w:rsidRPr="00952C79">
        <w:rPr>
          <w:rFonts w:ascii="Times New Roman" w:hAnsi="Times New Roman" w:cs="Times New Roman"/>
          <w:color w:val="000000" w:themeColor="text1"/>
          <w:sz w:val="24"/>
          <w:szCs w:val="24"/>
        </w:rPr>
        <w:t>aos programas de transferência de renda, como por movimentos de renda do trabalho</w:t>
      </w:r>
      <w:r w:rsidRPr="00952C79">
        <w:rPr>
          <w:rFonts w:ascii="Times New Roman" w:hAnsi="Times New Roman" w:cs="Times New Roman"/>
          <w:color w:val="000000" w:themeColor="text1"/>
          <w:sz w:val="24"/>
          <w:szCs w:val="24"/>
        </w:rPr>
        <w:t xml:space="preserve">. Note-se que tais movimentos em favor de menores desigualdades regionais observadas para a renda do </w:t>
      </w:r>
      <w:r w:rsidRPr="00274ECC">
        <w:rPr>
          <w:rFonts w:ascii="Times New Roman" w:hAnsi="Times New Roman" w:cs="Times New Roman"/>
          <w:color w:val="000000" w:themeColor="text1"/>
          <w:sz w:val="24"/>
          <w:szCs w:val="24"/>
        </w:rPr>
        <w:t xml:space="preserve">trabalho, a princípio, são consistentes, por um lado, com a conhecida importância da educação para entender os níveis de desigualdade regional de renda no Brasil (DUARTE, FERREIRA e SALVATO, 2003; SILVEIRA NETO e MENEZES, 2008) e, por outro, com o aumento do nível de escolaridade dos indivíduos presente em todas as unidades da federação (mudanças na oferta de trabalho) e a elevação do número de postos de trabalho para os indivíduos mais escolarizados, movimento associado à desconcentração industrial regional (SILVEIRA NETO e AZZONI, 2011) observada no país na última década (mudanças na demanda de trabalho). </w:t>
      </w:r>
    </w:p>
    <w:p w14:paraId="3D07A742" w14:textId="77777777" w:rsidR="00061240" w:rsidRPr="00952C79" w:rsidRDefault="00061240" w:rsidP="003C3441">
      <w:pPr>
        <w:spacing w:after="0" w:line="360" w:lineRule="auto"/>
        <w:ind w:firstLine="709"/>
        <w:jc w:val="both"/>
        <w:rPr>
          <w:rFonts w:ascii="Times New Roman" w:hAnsi="Times New Roman" w:cs="Times New Roman"/>
          <w:color w:val="000000" w:themeColor="text1"/>
          <w:sz w:val="24"/>
          <w:szCs w:val="24"/>
        </w:rPr>
      </w:pPr>
      <w:r w:rsidRPr="00952C79">
        <w:rPr>
          <w:rFonts w:ascii="Times New Roman" w:hAnsi="Times New Roman" w:cs="Times New Roman"/>
          <w:color w:val="000000" w:themeColor="text1"/>
          <w:sz w:val="24"/>
          <w:szCs w:val="24"/>
        </w:rPr>
        <w:lastRenderedPageBreak/>
        <w:t>É verdade que</w:t>
      </w:r>
      <w:r w:rsidR="00743989" w:rsidRPr="00952C79">
        <w:rPr>
          <w:rFonts w:ascii="Times New Roman" w:hAnsi="Times New Roman" w:cs="Times New Roman"/>
          <w:color w:val="000000" w:themeColor="text1"/>
          <w:sz w:val="24"/>
          <w:szCs w:val="24"/>
        </w:rPr>
        <w:t xml:space="preserve">, dado o conhecido padrão brasileiro de disparidades regionais, onde os estados mais pobres também apresentam maior concentração relativa de indivíduos abaixo da linha de pobreza (SILVEIRA NETO, 2005), o foco dos atuais programas públicos de transferência de renda nos indivíduos em situação de maior precariedade social termina por impor um viés espacial absolutamente não intencional na alocação de recursos destes programas entre os estados brasileiros. </w:t>
      </w:r>
    </w:p>
    <w:p w14:paraId="75B2F09C" w14:textId="7711C360" w:rsidR="00743989" w:rsidRPr="00952C79" w:rsidRDefault="00061240" w:rsidP="003C3441">
      <w:pPr>
        <w:spacing w:after="0" w:line="360" w:lineRule="auto"/>
        <w:ind w:firstLine="709"/>
        <w:jc w:val="both"/>
        <w:rPr>
          <w:rFonts w:ascii="Times New Roman" w:hAnsi="Times New Roman" w:cs="Times New Roman"/>
          <w:color w:val="000000" w:themeColor="text1"/>
          <w:sz w:val="24"/>
          <w:szCs w:val="24"/>
        </w:rPr>
      </w:pPr>
      <w:r w:rsidRPr="00952C79">
        <w:rPr>
          <w:rFonts w:ascii="Times New Roman" w:hAnsi="Times New Roman" w:cs="Times New Roman"/>
          <w:color w:val="000000" w:themeColor="text1"/>
          <w:sz w:val="24"/>
          <w:szCs w:val="24"/>
        </w:rPr>
        <w:t xml:space="preserve">Contudo, seja por que representam mais de </w:t>
      </w:r>
      <w:r w:rsidR="000C3556">
        <w:rPr>
          <w:rFonts w:ascii="Times New Roman" w:hAnsi="Times New Roman" w:cs="Times New Roman"/>
          <w:color w:val="000000" w:themeColor="text1"/>
          <w:sz w:val="24"/>
          <w:szCs w:val="24"/>
        </w:rPr>
        <w:t>70% da renda das famílias, seja</w:t>
      </w:r>
      <w:r w:rsidRPr="00952C79">
        <w:rPr>
          <w:rFonts w:ascii="Times New Roman" w:hAnsi="Times New Roman" w:cs="Times New Roman"/>
          <w:color w:val="000000" w:themeColor="text1"/>
          <w:sz w:val="24"/>
          <w:szCs w:val="24"/>
        </w:rPr>
        <w:t xml:space="preserve"> porque refletem potenciais movimentos associados à produtividade, são as fontes de renda do trabalho associadas aos níveis educacionais os </w:t>
      </w:r>
      <w:r w:rsidR="000C3556">
        <w:rPr>
          <w:rFonts w:ascii="Times New Roman" w:hAnsi="Times New Roman" w:cs="Times New Roman"/>
          <w:color w:val="000000" w:themeColor="text1"/>
          <w:sz w:val="24"/>
          <w:szCs w:val="24"/>
        </w:rPr>
        <w:t>principais</w:t>
      </w:r>
      <w:r w:rsidRPr="00952C79">
        <w:rPr>
          <w:rFonts w:ascii="Times New Roman" w:hAnsi="Times New Roman" w:cs="Times New Roman"/>
          <w:color w:val="000000" w:themeColor="text1"/>
          <w:sz w:val="24"/>
          <w:szCs w:val="24"/>
        </w:rPr>
        <w:t xml:space="preserve"> protagonistas dos movimentos de distribuição regional de renda no Brasil. Neste sentido, note-se, por exemplo</w:t>
      </w:r>
      <w:r w:rsidR="00985F6D" w:rsidRPr="00952C79">
        <w:rPr>
          <w:rFonts w:ascii="Times New Roman" w:hAnsi="Times New Roman" w:cs="Times New Roman"/>
          <w:color w:val="000000" w:themeColor="text1"/>
          <w:sz w:val="24"/>
          <w:szCs w:val="24"/>
        </w:rPr>
        <w:t>,</w:t>
      </w:r>
      <w:r w:rsidRPr="00952C79">
        <w:rPr>
          <w:rFonts w:ascii="Times New Roman" w:hAnsi="Times New Roman" w:cs="Times New Roman"/>
          <w:color w:val="000000" w:themeColor="text1"/>
          <w:sz w:val="24"/>
          <w:szCs w:val="24"/>
        </w:rPr>
        <w:t xml:space="preserve"> que </w:t>
      </w:r>
      <w:r w:rsidR="00985F6D" w:rsidRPr="00952C79">
        <w:rPr>
          <w:rFonts w:ascii="Times New Roman" w:hAnsi="Times New Roman" w:cs="Times New Roman"/>
          <w:color w:val="000000" w:themeColor="text1"/>
          <w:sz w:val="24"/>
          <w:szCs w:val="24"/>
        </w:rPr>
        <w:t xml:space="preserve">enquanto os estados mais pobres do Maranhão e Alagoas viram expandir os anos médios de estudos de sua população em </w:t>
      </w:r>
      <w:r w:rsidR="00952C79" w:rsidRPr="00952C79">
        <w:rPr>
          <w:rFonts w:ascii="Times New Roman" w:hAnsi="Times New Roman" w:cs="Times New Roman"/>
          <w:color w:val="000000" w:themeColor="text1"/>
          <w:sz w:val="24"/>
          <w:szCs w:val="24"/>
        </w:rPr>
        <w:t>69,25% e 47,69%</w:t>
      </w:r>
      <w:r w:rsidR="00985F6D" w:rsidRPr="00952C79">
        <w:rPr>
          <w:rFonts w:ascii="Times New Roman" w:hAnsi="Times New Roman" w:cs="Times New Roman"/>
          <w:color w:val="000000" w:themeColor="text1"/>
          <w:sz w:val="24"/>
          <w:szCs w:val="24"/>
        </w:rPr>
        <w:t xml:space="preserve"> entre 1995 e 2011, os estados de São Paulo e Rio de Janeiro apresentaram expa</w:t>
      </w:r>
      <w:r w:rsidR="00952C79" w:rsidRPr="00952C79">
        <w:rPr>
          <w:rFonts w:ascii="Times New Roman" w:hAnsi="Times New Roman" w:cs="Times New Roman"/>
          <w:color w:val="000000" w:themeColor="text1"/>
          <w:sz w:val="24"/>
          <w:szCs w:val="24"/>
        </w:rPr>
        <w:t>nsão da escolaridade de apenas 23,76% e 35,89%</w:t>
      </w:r>
      <w:r w:rsidR="000C3556">
        <w:rPr>
          <w:rFonts w:ascii="Times New Roman" w:hAnsi="Times New Roman" w:cs="Times New Roman"/>
          <w:color w:val="000000" w:themeColor="text1"/>
          <w:sz w:val="24"/>
          <w:szCs w:val="24"/>
        </w:rPr>
        <w:t xml:space="preserve">, respectivamente, </w:t>
      </w:r>
      <w:r w:rsidR="00985F6D" w:rsidRPr="00952C79">
        <w:rPr>
          <w:rFonts w:ascii="Times New Roman" w:hAnsi="Times New Roman" w:cs="Times New Roman"/>
          <w:color w:val="000000" w:themeColor="text1"/>
          <w:sz w:val="24"/>
          <w:szCs w:val="24"/>
        </w:rPr>
        <w:t>no mesmo período.</w:t>
      </w:r>
    </w:p>
    <w:p w14:paraId="6CC59179" w14:textId="7F8142D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Este ambiente social brasileiro com progresso regionalmente mais homogêneo nos níveis de escolaridade e de políticas sociais efetivas de transferências de renda efetivas certamente tem implicações sobre a distribuição regional de renda entre os estados brasileiros. Considerando-se a ausência de análises que considerem simultaneamente o papel da escolaridade e das políticas sociais no entendimento das </w:t>
      </w:r>
      <w:r w:rsidRPr="00952C79">
        <w:rPr>
          <w:rFonts w:ascii="Times New Roman" w:hAnsi="Times New Roman" w:cs="Times New Roman"/>
          <w:color w:val="000000" w:themeColor="text1"/>
          <w:sz w:val="24"/>
          <w:szCs w:val="24"/>
        </w:rPr>
        <w:t xml:space="preserve">disparidades regionais brasileiras no período mais recente, o objetivo central deste trabalho é, pois, fornecer um conjunto de evidências a respeito das contribuições dos </w:t>
      </w:r>
      <w:r w:rsidR="000C3556">
        <w:rPr>
          <w:rFonts w:ascii="Times New Roman" w:hAnsi="Times New Roman" w:cs="Times New Roman"/>
          <w:color w:val="000000" w:themeColor="text1"/>
          <w:sz w:val="24"/>
          <w:szCs w:val="24"/>
        </w:rPr>
        <w:t xml:space="preserve">diferentes </w:t>
      </w:r>
      <w:r w:rsidRPr="00952C79">
        <w:rPr>
          <w:rFonts w:ascii="Times New Roman" w:hAnsi="Times New Roman" w:cs="Times New Roman"/>
          <w:color w:val="000000" w:themeColor="text1"/>
          <w:sz w:val="24"/>
          <w:szCs w:val="24"/>
        </w:rPr>
        <w:t xml:space="preserve">níveis de escolaridade </w:t>
      </w:r>
      <w:r w:rsidR="00985F6D" w:rsidRPr="00952C79">
        <w:rPr>
          <w:rFonts w:ascii="Times New Roman" w:hAnsi="Times New Roman" w:cs="Times New Roman"/>
          <w:color w:val="000000" w:themeColor="text1"/>
          <w:sz w:val="24"/>
          <w:szCs w:val="24"/>
        </w:rPr>
        <w:t xml:space="preserve">para </w:t>
      </w:r>
      <w:r w:rsidRPr="00952C79">
        <w:rPr>
          <w:rFonts w:ascii="Times New Roman" w:hAnsi="Times New Roman" w:cs="Times New Roman"/>
          <w:color w:val="000000" w:themeColor="text1"/>
          <w:sz w:val="24"/>
          <w:szCs w:val="24"/>
        </w:rPr>
        <w:t>o entendimento dos níveis de desigualdade</w:t>
      </w:r>
      <w:r w:rsidR="00985F6D" w:rsidRPr="00952C79">
        <w:rPr>
          <w:rFonts w:ascii="Times New Roman" w:hAnsi="Times New Roman" w:cs="Times New Roman"/>
          <w:color w:val="000000" w:themeColor="text1"/>
          <w:sz w:val="24"/>
          <w:szCs w:val="24"/>
        </w:rPr>
        <w:t xml:space="preserve"> regional de renda e </w:t>
      </w:r>
      <w:r w:rsidRPr="00952C79">
        <w:rPr>
          <w:rFonts w:ascii="Times New Roman" w:hAnsi="Times New Roman" w:cs="Times New Roman"/>
          <w:color w:val="000000" w:themeColor="text1"/>
          <w:sz w:val="24"/>
          <w:szCs w:val="24"/>
        </w:rPr>
        <w:t xml:space="preserve">da redução da desigualdade regional de renda observada no Brasil entre 1995 e 2011. Tal tarefa é levada a efeito a partir da decomposição do índice de Gini da distribuição regional de renda no país entre diferentes fontes de renda dos domicílios das unidades federativas, numa estratégia semelhante àquela empreendida por Silveira Neto e Azzoni (2012), mas que considera a renda do trabalho a partir de diferentes níveis de escolaridade. Adicionalmente, a partir, do cálculo de elasticidades deste índice de desigualdade em relação às diferentes fontes de renda dos estados, o trabalho fornece medidas da influência de mudanças nestas diferentes fontes de renda </w:t>
      </w:r>
      <w:r w:rsidR="00985F6D" w:rsidRPr="00952C79">
        <w:rPr>
          <w:rFonts w:ascii="Times New Roman" w:hAnsi="Times New Roman" w:cs="Times New Roman"/>
          <w:color w:val="000000" w:themeColor="text1"/>
          <w:sz w:val="24"/>
          <w:szCs w:val="24"/>
        </w:rPr>
        <w:t xml:space="preserve">associadas ao diferentes níveis de escolaridade </w:t>
      </w:r>
      <w:r w:rsidRPr="00274ECC">
        <w:rPr>
          <w:rFonts w:ascii="Times New Roman" w:hAnsi="Times New Roman" w:cs="Times New Roman"/>
          <w:color w:val="000000" w:themeColor="text1"/>
          <w:sz w:val="24"/>
          <w:szCs w:val="24"/>
        </w:rPr>
        <w:t xml:space="preserve">sobre a desigualdade regional de renda no país. </w:t>
      </w:r>
    </w:p>
    <w:p w14:paraId="726AB216" w14:textId="464E9ECE"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lastRenderedPageBreak/>
        <w:t>Entre outras evidências, os resultados obtidos na pesquisa indicam que em 2011 cerca de 65% da desigualdade regional de renda entre os estados brasileiros decorria dos níveis (elevados) de concentração da renda dos indivíduos que possuíam escolaridade com no mínimo o ensino médio, um percentual superior àquele observado em 1995. Além disto, a dinâmica de distribuição regional da fonte de renda associada aos indivíduos mais escolarizados (ensino superior), entre as renda do trabalho, foi a única a apresentar um movimento em favor de maior concentração regional de re</w:t>
      </w:r>
      <w:r w:rsidR="00985F6D">
        <w:rPr>
          <w:rFonts w:ascii="Times New Roman" w:hAnsi="Times New Roman" w:cs="Times New Roman"/>
          <w:color w:val="000000" w:themeColor="text1"/>
          <w:sz w:val="24"/>
          <w:szCs w:val="24"/>
        </w:rPr>
        <w:t>nda no Brasil entre 1995 e 2011</w:t>
      </w:r>
      <w:r w:rsidRPr="00274ECC">
        <w:rPr>
          <w:rFonts w:ascii="Times New Roman" w:hAnsi="Times New Roman" w:cs="Times New Roman"/>
          <w:color w:val="000000" w:themeColor="text1"/>
          <w:sz w:val="24"/>
          <w:szCs w:val="24"/>
        </w:rPr>
        <w:t xml:space="preserve">. </w:t>
      </w:r>
      <w:r w:rsidR="000C3556">
        <w:rPr>
          <w:rFonts w:ascii="Times New Roman" w:hAnsi="Times New Roman" w:cs="Times New Roman"/>
          <w:color w:val="000000" w:themeColor="text1"/>
          <w:sz w:val="24"/>
          <w:szCs w:val="24"/>
        </w:rPr>
        <w:t xml:space="preserve"> Tais resultados indicam que a disparidade regional de renda entre os estados brasileiros é, hoje, mais dependente da distribuição regional de renda dos indivíduos mais escolarizados.</w:t>
      </w:r>
    </w:p>
    <w:p w14:paraId="023EDBD3" w14:textId="60BA6670" w:rsidR="00743989" w:rsidRPr="00952C79" w:rsidRDefault="00743989" w:rsidP="003C3441">
      <w:pPr>
        <w:spacing w:after="0" w:line="360" w:lineRule="auto"/>
        <w:ind w:firstLine="709"/>
        <w:jc w:val="both"/>
        <w:rPr>
          <w:rFonts w:ascii="Times New Roman" w:hAnsi="Times New Roman" w:cs="Times New Roman"/>
          <w:color w:val="000000" w:themeColor="text1"/>
          <w:sz w:val="24"/>
          <w:szCs w:val="24"/>
        </w:rPr>
      </w:pPr>
      <w:r w:rsidRPr="00952C79">
        <w:rPr>
          <w:rFonts w:ascii="Times New Roman" w:hAnsi="Times New Roman" w:cs="Times New Roman"/>
          <w:color w:val="000000" w:themeColor="text1"/>
          <w:sz w:val="24"/>
          <w:szCs w:val="24"/>
        </w:rPr>
        <w:t xml:space="preserve">Além desta introdução, o trabalho está estruturado em mais </w:t>
      </w:r>
      <w:r w:rsidR="00985F6D" w:rsidRPr="00952C79">
        <w:rPr>
          <w:rFonts w:ascii="Times New Roman" w:hAnsi="Times New Roman" w:cs="Times New Roman"/>
          <w:color w:val="000000" w:themeColor="text1"/>
          <w:sz w:val="24"/>
          <w:szCs w:val="24"/>
        </w:rPr>
        <w:t>três</w:t>
      </w:r>
      <w:r w:rsidRPr="00952C79">
        <w:rPr>
          <w:rFonts w:ascii="Times New Roman" w:hAnsi="Times New Roman" w:cs="Times New Roman"/>
          <w:color w:val="000000" w:themeColor="text1"/>
          <w:sz w:val="24"/>
          <w:szCs w:val="24"/>
        </w:rPr>
        <w:t xml:space="preserve"> seções. Na próxima seção, são apresentadas a base de informações utilizadas, as diferentes fontes de renda consideradas e evidências exploratórias iniciais</w:t>
      </w:r>
      <w:r w:rsidR="000C3556">
        <w:rPr>
          <w:rFonts w:ascii="Times New Roman" w:hAnsi="Times New Roman" w:cs="Times New Roman"/>
          <w:color w:val="000000" w:themeColor="text1"/>
          <w:sz w:val="24"/>
          <w:szCs w:val="24"/>
        </w:rPr>
        <w:t xml:space="preserve"> sobre a importância das diferentes fontes de renda associadas aos diferentes níveis de escolaridade</w:t>
      </w:r>
      <w:r w:rsidR="002763E7">
        <w:rPr>
          <w:rFonts w:ascii="Times New Roman" w:hAnsi="Times New Roman" w:cs="Times New Roman"/>
          <w:color w:val="000000" w:themeColor="text1"/>
          <w:sz w:val="24"/>
          <w:szCs w:val="24"/>
        </w:rPr>
        <w:t xml:space="preserve"> para a desigualdade regional de renda no Brasil</w:t>
      </w:r>
      <w:r w:rsidRPr="00952C79">
        <w:rPr>
          <w:rFonts w:ascii="Times New Roman" w:hAnsi="Times New Roman" w:cs="Times New Roman"/>
          <w:color w:val="000000" w:themeColor="text1"/>
          <w:sz w:val="24"/>
          <w:szCs w:val="24"/>
        </w:rPr>
        <w:t>. Na seção três, são apresentados os resultados do trabalho quanto à importância das fontes de renda e seus níveis de distribuição entres os estados brasileiros nos anos de 1995 e 2011</w:t>
      </w:r>
      <w:r w:rsidR="00985F6D" w:rsidRPr="00952C79">
        <w:rPr>
          <w:rFonts w:ascii="Times New Roman" w:hAnsi="Times New Roman" w:cs="Times New Roman"/>
          <w:color w:val="000000" w:themeColor="text1"/>
          <w:sz w:val="24"/>
          <w:szCs w:val="24"/>
        </w:rPr>
        <w:t xml:space="preserve"> e os</w:t>
      </w:r>
      <w:r w:rsidRPr="00952C79">
        <w:rPr>
          <w:rFonts w:ascii="Times New Roman" w:hAnsi="Times New Roman" w:cs="Times New Roman"/>
          <w:color w:val="000000" w:themeColor="text1"/>
          <w:sz w:val="24"/>
          <w:szCs w:val="24"/>
        </w:rPr>
        <w:t xml:space="preserve"> resultados do trabalho com respeito às contribuições das diferentes fontes de renda </w:t>
      </w:r>
      <w:r w:rsidR="00985F6D" w:rsidRPr="00952C79">
        <w:rPr>
          <w:rFonts w:ascii="Times New Roman" w:hAnsi="Times New Roman" w:cs="Times New Roman"/>
          <w:color w:val="000000" w:themeColor="text1"/>
          <w:sz w:val="24"/>
          <w:szCs w:val="24"/>
        </w:rPr>
        <w:t>para a redução da desigualdade regional de renda no Brasil</w:t>
      </w:r>
      <w:r w:rsidRPr="00952C79">
        <w:rPr>
          <w:rFonts w:ascii="Times New Roman" w:hAnsi="Times New Roman" w:cs="Times New Roman"/>
          <w:color w:val="000000" w:themeColor="text1"/>
          <w:sz w:val="24"/>
          <w:szCs w:val="24"/>
        </w:rPr>
        <w:t xml:space="preserve">. Na seção </w:t>
      </w:r>
      <w:r w:rsidR="00985F6D" w:rsidRPr="00952C79">
        <w:rPr>
          <w:rFonts w:ascii="Times New Roman" w:hAnsi="Times New Roman" w:cs="Times New Roman"/>
          <w:color w:val="000000" w:themeColor="text1"/>
          <w:sz w:val="24"/>
          <w:szCs w:val="24"/>
        </w:rPr>
        <w:t>quatro</w:t>
      </w:r>
      <w:r w:rsidRPr="00952C79">
        <w:rPr>
          <w:rFonts w:ascii="Times New Roman" w:hAnsi="Times New Roman" w:cs="Times New Roman"/>
          <w:color w:val="000000" w:themeColor="text1"/>
          <w:sz w:val="24"/>
          <w:szCs w:val="24"/>
        </w:rPr>
        <w:t xml:space="preserve"> são apresentadas as estimativas das elasticidades da desigualdade regional de renda em relação às fontes de renda nos dois referidos anos. As conclusões e implicações dos resultados são apresentadas na </w:t>
      </w:r>
      <w:r w:rsidR="00985F6D" w:rsidRPr="00952C79">
        <w:rPr>
          <w:rFonts w:ascii="Times New Roman" w:hAnsi="Times New Roman" w:cs="Times New Roman"/>
          <w:color w:val="000000" w:themeColor="text1"/>
          <w:sz w:val="24"/>
          <w:szCs w:val="24"/>
        </w:rPr>
        <w:t>quinta</w:t>
      </w:r>
      <w:r w:rsidRPr="00952C79">
        <w:rPr>
          <w:rFonts w:ascii="Times New Roman" w:hAnsi="Times New Roman" w:cs="Times New Roman"/>
          <w:color w:val="000000" w:themeColor="text1"/>
          <w:sz w:val="24"/>
          <w:szCs w:val="24"/>
        </w:rPr>
        <w:t xml:space="preserve"> e última seção.</w:t>
      </w:r>
    </w:p>
    <w:p w14:paraId="4083DB6F" w14:textId="77777777" w:rsidR="00743989" w:rsidRPr="00274ECC" w:rsidRDefault="00743989" w:rsidP="003C3441">
      <w:pPr>
        <w:spacing w:after="0" w:line="360" w:lineRule="auto"/>
        <w:jc w:val="both"/>
        <w:rPr>
          <w:rFonts w:ascii="Times New Roman" w:hAnsi="Times New Roman" w:cs="Times New Roman"/>
          <w:b/>
          <w:color w:val="000000" w:themeColor="text1"/>
          <w:sz w:val="24"/>
          <w:szCs w:val="24"/>
        </w:rPr>
      </w:pPr>
    </w:p>
    <w:p w14:paraId="1D860A7E" w14:textId="77777777" w:rsidR="00743989" w:rsidRPr="00274ECC" w:rsidRDefault="00743989" w:rsidP="003C3441">
      <w:pPr>
        <w:spacing w:after="0" w:line="360" w:lineRule="auto"/>
        <w:jc w:val="both"/>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2. Base de dados e evidências iniciais</w:t>
      </w:r>
    </w:p>
    <w:p w14:paraId="3A4D5419"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43A01222" w14:textId="77777777" w:rsidR="00743989"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As informações utilizadas nesta pesquisa provêm dos microdados da Pesquisa Nacional por Amostra de Domicílio (PNAD) do IBGE. A partir de tal base, é possível a desagregação das informações para as unidades da federação, como também o processamento de informações de renda para diferentes características e composição dos domicílios. Mais especificamente, a partir da PNAD é possível extrair as informações necessárias sobre escolaridade e renda dos domicílios e sobre outras fontes de renda que não aquela do trabalho a partir de seus indivíduos moradores. Tais fontes de renda dos domicílios são, posteriormente, agregadas para as unidades da federação utilizando-se </w:t>
      </w:r>
      <w:r w:rsidRPr="00274ECC">
        <w:rPr>
          <w:rFonts w:ascii="Times New Roman" w:hAnsi="Times New Roman" w:cs="Times New Roman"/>
          <w:color w:val="000000" w:themeColor="text1"/>
          <w:sz w:val="24"/>
          <w:szCs w:val="24"/>
        </w:rPr>
        <w:lastRenderedPageBreak/>
        <w:t xml:space="preserve">os pesos domiciliares, conforme a estratégia de Silveira Neto e Azzoni (2012). A partir das informações para diferentes fontes de renda por unidades da federação e das populações, obtêm-se os níveis de renda </w:t>
      </w:r>
      <w:r w:rsidRPr="00274ECC">
        <w:rPr>
          <w:rFonts w:ascii="Times New Roman" w:hAnsi="Times New Roman" w:cs="Times New Roman"/>
          <w:i/>
          <w:color w:val="000000" w:themeColor="text1"/>
          <w:sz w:val="24"/>
          <w:szCs w:val="24"/>
        </w:rPr>
        <w:t xml:space="preserve">per capita </w:t>
      </w:r>
      <w:r w:rsidRPr="00274ECC">
        <w:rPr>
          <w:rFonts w:ascii="Times New Roman" w:hAnsi="Times New Roman" w:cs="Times New Roman"/>
          <w:color w:val="000000" w:themeColor="text1"/>
          <w:sz w:val="24"/>
          <w:szCs w:val="24"/>
        </w:rPr>
        <w:t xml:space="preserve">das unidades federativas e medidas de desigualdade na distribuição da renda </w:t>
      </w:r>
      <w:r w:rsidRPr="00274ECC">
        <w:rPr>
          <w:rFonts w:ascii="Times New Roman" w:hAnsi="Times New Roman" w:cs="Times New Roman"/>
          <w:i/>
          <w:color w:val="000000" w:themeColor="text1"/>
          <w:sz w:val="24"/>
          <w:szCs w:val="24"/>
        </w:rPr>
        <w:t>per capita</w:t>
      </w:r>
      <w:r w:rsidRPr="00274ECC">
        <w:rPr>
          <w:rFonts w:ascii="Times New Roman" w:hAnsi="Times New Roman" w:cs="Times New Roman"/>
          <w:color w:val="000000" w:themeColor="text1"/>
          <w:sz w:val="24"/>
          <w:szCs w:val="24"/>
        </w:rPr>
        <w:t xml:space="preserve"> entre tais unidades. Na presente pesquisa, por permitir diferentes estratégias de decomposições e obtenção de resultados para a elasticidade da desigualdade, utiliza-se o índice de Gini como medida de desigualdade (Silveira Neto e Azzoni, 2012; Soares, 2006 e Hoffmann, 2006).</w:t>
      </w:r>
    </w:p>
    <w:p w14:paraId="21C12925" w14:textId="128B5367" w:rsidR="0006169F" w:rsidRPr="00853881" w:rsidRDefault="0006169F" w:rsidP="003C3441">
      <w:pPr>
        <w:spacing w:after="0" w:line="360" w:lineRule="auto"/>
        <w:ind w:firstLine="709"/>
        <w:jc w:val="both"/>
        <w:rPr>
          <w:rFonts w:ascii="Times New Roman" w:hAnsi="Times New Roman" w:cs="Times New Roman"/>
          <w:sz w:val="24"/>
          <w:szCs w:val="24"/>
        </w:rPr>
      </w:pPr>
      <w:r w:rsidRPr="00853881">
        <w:rPr>
          <w:rFonts w:ascii="Times New Roman" w:hAnsi="Times New Roman" w:cs="Times New Roman"/>
          <w:sz w:val="24"/>
          <w:szCs w:val="24"/>
        </w:rPr>
        <w:t>No gráfico</w:t>
      </w:r>
      <w:r w:rsidR="004B2D03" w:rsidRPr="00853881">
        <w:rPr>
          <w:rFonts w:ascii="Times New Roman" w:hAnsi="Times New Roman" w:cs="Times New Roman"/>
          <w:sz w:val="24"/>
          <w:szCs w:val="24"/>
        </w:rPr>
        <w:t xml:space="preserve"> 1</w:t>
      </w:r>
      <w:r w:rsidR="002763E7" w:rsidRPr="00853881">
        <w:rPr>
          <w:rFonts w:ascii="Times New Roman" w:hAnsi="Times New Roman" w:cs="Times New Roman"/>
          <w:sz w:val="24"/>
          <w:szCs w:val="24"/>
        </w:rPr>
        <w:t>,</w:t>
      </w:r>
      <w:r w:rsidR="004B2D03" w:rsidRPr="00853881">
        <w:rPr>
          <w:rFonts w:ascii="Times New Roman" w:hAnsi="Times New Roman" w:cs="Times New Roman"/>
          <w:sz w:val="24"/>
          <w:szCs w:val="24"/>
        </w:rPr>
        <w:t xml:space="preserve"> observa-se </w:t>
      </w:r>
      <w:r w:rsidR="002763E7" w:rsidRPr="00853881">
        <w:rPr>
          <w:rFonts w:ascii="Times New Roman" w:hAnsi="Times New Roman" w:cs="Times New Roman"/>
          <w:sz w:val="24"/>
          <w:szCs w:val="24"/>
        </w:rPr>
        <w:t>a evolução</w:t>
      </w:r>
      <w:r w:rsidR="004B2D03" w:rsidRPr="00853881">
        <w:rPr>
          <w:rFonts w:ascii="Times New Roman" w:hAnsi="Times New Roman" w:cs="Times New Roman"/>
          <w:sz w:val="24"/>
          <w:szCs w:val="24"/>
        </w:rPr>
        <w:t xml:space="preserve"> do desvio padrão da</w:t>
      </w:r>
      <w:r w:rsidR="002763E7" w:rsidRPr="00853881">
        <w:rPr>
          <w:rFonts w:ascii="Times New Roman" w:hAnsi="Times New Roman" w:cs="Times New Roman"/>
          <w:sz w:val="24"/>
          <w:szCs w:val="24"/>
        </w:rPr>
        <w:t xml:space="preserve"> distribuição da</w:t>
      </w:r>
      <w:r w:rsidR="004B2D03" w:rsidRPr="00853881">
        <w:rPr>
          <w:rFonts w:ascii="Times New Roman" w:hAnsi="Times New Roman" w:cs="Times New Roman"/>
          <w:sz w:val="24"/>
          <w:szCs w:val="24"/>
        </w:rPr>
        <w:t xml:space="preserve"> escolaridade média (</w:t>
      </w:r>
      <w:r w:rsidR="002763E7" w:rsidRPr="00853881">
        <w:rPr>
          <w:rFonts w:ascii="Times New Roman" w:hAnsi="Times New Roman" w:cs="Times New Roman"/>
          <w:sz w:val="24"/>
          <w:szCs w:val="24"/>
        </w:rPr>
        <w:t xml:space="preserve">número de </w:t>
      </w:r>
      <w:r w:rsidR="004B2D03" w:rsidRPr="00853881">
        <w:rPr>
          <w:rFonts w:ascii="Times New Roman" w:hAnsi="Times New Roman" w:cs="Times New Roman"/>
          <w:sz w:val="24"/>
          <w:szCs w:val="24"/>
        </w:rPr>
        <w:t>anos de estudo) entre os estados brasileiros. Neste, pode-se observar uma clara tendência de redução das disparidades educacionais entre os estados brasileiros desde 1999. Este fato provavelmente contribui para a redução das disparidades econômicas regionais, pois maiores níveis de escolaridade estão associados, de um modo geral, a rendas mais elevadas.</w:t>
      </w:r>
    </w:p>
    <w:p w14:paraId="060B6446" w14:textId="77777777" w:rsidR="002763E7" w:rsidRPr="00853881" w:rsidRDefault="002763E7" w:rsidP="003C3441">
      <w:pPr>
        <w:spacing w:after="0" w:line="360" w:lineRule="auto"/>
        <w:ind w:firstLine="709"/>
        <w:jc w:val="both"/>
        <w:rPr>
          <w:rFonts w:ascii="Times New Roman" w:hAnsi="Times New Roman" w:cs="Times New Roman"/>
          <w:sz w:val="24"/>
          <w:szCs w:val="24"/>
        </w:rPr>
      </w:pPr>
    </w:p>
    <w:p w14:paraId="691D293C" w14:textId="77777777" w:rsidR="00543EE6" w:rsidRPr="00853881" w:rsidRDefault="008A020B" w:rsidP="008A020B">
      <w:pPr>
        <w:spacing w:after="0" w:line="360" w:lineRule="auto"/>
        <w:ind w:firstLine="709"/>
        <w:jc w:val="both"/>
        <w:rPr>
          <w:rFonts w:ascii="Times New Roman" w:hAnsi="Times New Roman" w:cs="Times New Roman"/>
          <w:sz w:val="24"/>
          <w:szCs w:val="24"/>
        </w:rPr>
      </w:pPr>
      <w:r w:rsidRPr="00853881">
        <w:rPr>
          <w:rFonts w:ascii="Times New Roman" w:hAnsi="Times New Roman" w:cs="Times New Roman"/>
          <w:sz w:val="24"/>
          <w:szCs w:val="24"/>
        </w:rPr>
        <w:t xml:space="preserve">Gráfico 2 – Evolução do desvio padrão da </w:t>
      </w:r>
      <w:r w:rsidR="00543EE6" w:rsidRPr="00853881">
        <w:rPr>
          <w:rFonts w:ascii="Times New Roman" w:hAnsi="Times New Roman" w:cs="Times New Roman"/>
          <w:sz w:val="24"/>
          <w:szCs w:val="24"/>
        </w:rPr>
        <w:t xml:space="preserve">distribuição do número médio de anos </w:t>
      </w:r>
    </w:p>
    <w:p w14:paraId="6F59B23C" w14:textId="599C689F" w:rsidR="008A020B" w:rsidRPr="00543EE6" w:rsidRDefault="00543EE6" w:rsidP="008A020B">
      <w:pPr>
        <w:spacing w:after="0" w:line="360" w:lineRule="auto"/>
        <w:ind w:firstLine="709"/>
        <w:jc w:val="both"/>
        <w:rPr>
          <w:rFonts w:ascii="Times New Roman" w:hAnsi="Times New Roman" w:cs="Times New Roman"/>
          <w:color w:val="008000"/>
          <w:sz w:val="24"/>
          <w:szCs w:val="24"/>
        </w:rPr>
      </w:pPr>
      <w:r w:rsidRPr="00853881">
        <w:rPr>
          <w:rFonts w:ascii="Times New Roman" w:hAnsi="Times New Roman" w:cs="Times New Roman"/>
          <w:sz w:val="24"/>
          <w:szCs w:val="24"/>
        </w:rPr>
        <w:t xml:space="preserve">de estudos </w:t>
      </w:r>
      <w:r w:rsidR="008A020B" w:rsidRPr="00853881">
        <w:rPr>
          <w:rFonts w:ascii="Times New Roman" w:hAnsi="Times New Roman" w:cs="Times New Roman"/>
          <w:sz w:val="24"/>
          <w:szCs w:val="24"/>
        </w:rPr>
        <w:t xml:space="preserve">entre </w:t>
      </w:r>
      <w:r w:rsidRPr="00853881">
        <w:rPr>
          <w:rFonts w:ascii="Times New Roman" w:hAnsi="Times New Roman" w:cs="Times New Roman"/>
          <w:sz w:val="24"/>
          <w:szCs w:val="24"/>
        </w:rPr>
        <w:t>as Unidade da Federação.</w:t>
      </w:r>
    </w:p>
    <w:p w14:paraId="0A54329B" w14:textId="454FE0D4" w:rsidR="0006169F" w:rsidRDefault="0006169F" w:rsidP="003C3441">
      <w:pPr>
        <w:spacing w:after="0" w:line="360" w:lineRule="auto"/>
        <w:ind w:firstLine="709"/>
        <w:jc w:val="both"/>
        <w:rPr>
          <w:rFonts w:ascii="Times New Roman" w:hAnsi="Times New Roman" w:cs="Times New Roman"/>
          <w:color w:val="000000" w:themeColor="text1"/>
          <w:sz w:val="24"/>
          <w:szCs w:val="24"/>
        </w:rPr>
      </w:pPr>
      <w:r>
        <w:rPr>
          <w:noProof/>
          <w:lang w:val="en-US"/>
        </w:rPr>
        <w:drawing>
          <wp:inline distT="0" distB="0" distL="0" distR="0" wp14:anchorId="2470F019" wp14:editId="6EE9D95C">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A2FA12" w14:textId="77777777" w:rsidR="004B2D03" w:rsidRPr="00274ECC" w:rsidRDefault="004B2D03" w:rsidP="004B2D03">
      <w:pPr>
        <w:spacing w:after="0" w:line="360" w:lineRule="auto"/>
        <w:ind w:firstLine="709"/>
        <w:jc w:val="both"/>
        <w:rPr>
          <w:rFonts w:ascii="Times New Roman" w:hAnsi="Times New Roman" w:cs="Times New Roman"/>
          <w:color w:val="000000" w:themeColor="text1"/>
          <w:sz w:val="20"/>
          <w:szCs w:val="20"/>
        </w:rPr>
      </w:pPr>
      <w:r w:rsidRPr="00274ECC">
        <w:rPr>
          <w:rFonts w:ascii="Times New Roman" w:hAnsi="Times New Roman" w:cs="Times New Roman"/>
          <w:b/>
          <w:color w:val="000000" w:themeColor="text1"/>
          <w:sz w:val="20"/>
          <w:szCs w:val="20"/>
        </w:rPr>
        <w:t>Fonte:</w:t>
      </w:r>
      <w:r w:rsidRPr="00274ECC">
        <w:rPr>
          <w:rFonts w:ascii="Times New Roman" w:hAnsi="Times New Roman" w:cs="Times New Roman"/>
          <w:color w:val="000000" w:themeColor="text1"/>
          <w:sz w:val="20"/>
          <w:szCs w:val="20"/>
        </w:rPr>
        <w:t xml:space="preserve"> elaboração própria com base nos dados da PNAD/IBGE.</w:t>
      </w:r>
    </w:p>
    <w:p w14:paraId="61A751F4" w14:textId="77777777" w:rsidR="0006169F" w:rsidRDefault="0006169F" w:rsidP="003C3441">
      <w:pPr>
        <w:spacing w:after="0" w:line="360" w:lineRule="auto"/>
        <w:ind w:firstLine="709"/>
        <w:jc w:val="both"/>
        <w:rPr>
          <w:rFonts w:ascii="Times New Roman" w:hAnsi="Times New Roman" w:cs="Times New Roman"/>
          <w:color w:val="000000" w:themeColor="text1"/>
          <w:sz w:val="24"/>
          <w:szCs w:val="24"/>
        </w:rPr>
      </w:pPr>
    </w:p>
    <w:p w14:paraId="30E726E1" w14:textId="77777777" w:rsidR="00F834F8" w:rsidRPr="00853881" w:rsidRDefault="002763E7" w:rsidP="002763E7">
      <w:pPr>
        <w:spacing w:after="0" w:line="360" w:lineRule="auto"/>
        <w:ind w:firstLine="708"/>
        <w:jc w:val="both"/>
        <w:rPr>
          <w:rFonts w:ascii="Times New Roman" w:hAnsi="Times New Roman" w:cs="Times New Roman"/>
          <w:sz w:val="24"/>
          <w:szCs w:val="24"/>
        </w:rPr>
      </w:pPr>
      <w:r w:rsidRPr="00853881">
        <w:rPr>
          <w:rFonts w:ascii="Times New Roman" w:hAnsi="Times New Roman" w:cs="Times New Roman"/>
          <w:sz w:val="24"/>
          <w:szCs w:val="24"/>
        </w:rPr>
        <w:t xml:space="preserve">Evidentemente, o impacto desta tendência de convergência dos níveis de escolaridade média entre os estados do Brasil sobre as disparidades regionais </w:t>
      </w:r>
      <w:r w:rsidR="00F834F8" w:rsidRPr="00853881">
        <w:rPr>
          <w:rFonts w:ascii="Times New Roman" w:hAnsi="Times New Roman" w:cs="Times New Roman"/>
          <w:sz w:val="24"/>
          <w:szCs w:val="24"/>
        </w:rPr>
        <w:t xml:space="preserve">é dependente da natureza da expansão educacional dos estados (ou seja, de quais níveis de escolaridade foram expandidos) e das remunerações regionais dos diferentes níveis de </w:t>
      </w:r>
      <w:r w:rsidR="00F834F8" w:rsidRPr="00853881">
        <w:rPr>
          <w:rFonts w:ascii="Times New Roman" w:hAnsi="Times New Roman" w:cs="Times New Roman"/>
          <w:sz w:val="24"/>
          <w:szCs w:val="24"/>
        </w:rPr>
        <w:lastRenderedPageBreak/>
        <w:t>escolaridade.</w:t>
      </w:r>
      <w:r w:rsidRPr="00853881">
        <w:rPr>
          <w:rFonts w:ascii="Times New Roman" w:hAnsi="Times New Roman" w:cs="Times New Roman"/>
          <w:sz w:val="24"/>
          <w:szCs w:val="24"/>
        </w:rPr>
        <w:t xml:space="preserve"> </w:t>
      </w:r>
      <w:r w:rsidR="00F834F8" w:rsidRPr="00853881">
        <w:rPr>
          <w:rFonts w:ascii="Times New Roman" w:hAnsi="Times New Roman" w:cs="Times New Roman"/>
          <w:sz w:val="24"/>
          <w:szCs w:val="24"/>
        </w:rPr>
        <w:t>Tal questão é tratada a seguir, contudo, n</w:t>
      </w:r>
      <w:r w:rsidRPr="00853881">
        <w:rPr>
          <w:rFonts w:ascii="Times New Roman" w:hAnsi="Times New Roman" w:cs="Times New Roman"/>
          <w:sz w:val="24"/>
          <w:szCs w:val="24"/>
        </w:rPr>
        <w:t>os gráficos 2 e 3 pode-se observar a participação de cada estado no total da renda per capita da fonte de renda das pessoas com ensino médio completo e ensino superior completo, respectivamente</w:t>
      </w:r>
      <w:r w:rsidRPr="00853881">
        <w:rPr>
          <w:rStyle w:val="FootnoteReference"/>
          <w:rFonts w:ascii="Times New Roman" w:hAnsi="Times New Roman" w:cs="Times New Roman"/>
          <w:sz w:val="24"/>
          <w:szCs w:val="24"/>
        </w:rPr>
        <w:footnoteReference w:id="1"/>
      </w:r>
      <w:r w:rsidRPr="00853881">
        <w:rPr>
          <w:rFonts w:ascii="Times New Roman" w:hAnsi="Times New Roman" w:cs="Times New Roman"/>
          <w:sz w:val="24"/>
          <w:szCs w:val="24"/>
        </w:rPr>
        <w:t xml:space="preserve">. Os estados estão ordenados segundo a renda </w:t>
      </w:r>
      <w:r w:rsidR="00F834F8" w:rsidRPr="00853881">
        <w:rPr>
          <w:rFonts w:ascii="Times New Roman" w:hAnsi="Times New Roman" w:cs="Times New Roman"/>
          <w:sz w:val="24"/>
          <w:szCs w:val="24"/>
        </w:rPr>
        <w:t>per capita total no ano de 1995 e</w:t>
      </w:r>
      <w:r w:rsidRPr="00853881">
        <w:rPr>
          <w:rFonts w:ascii="Times New Roman" w:hAnsi="Times New Roman" w:cs="Times New Roman"/>
          <w:sz w:val="24"/>
          <w:szCs w:val="24"/>
        </w:rPr>
        <w:t xml:space="preserve"> </w:t>
      </w:r>
      <w:r w:rsidR="00F834F8" w:rsidRPr="00853881">
        <w:rPr>
          <w:rFonts w:ascii="Times New Roman" w:hAnsi="Times New Roman" w:cs="Times New Roman"/>
          <w:sz w:val="24"/>
          <w:szCs w:val="24"/>
        </w:rPr>
        <w:t xml:space="preserve">três evidências merecem destaques. </w:t>
      </w:r>
    </w:p>
    <w:p w14:paraId="7E93A1A8" w14:textId="77777777" w:rsidR="00853881" w:rsidRPr="00853881" w:rsidRDefault="00F834F8" w:rsidP="00F834F8">
      <w:pPr>
        <w:spacing w:after="0" w:line="360" w:lineRule="auto"/>
        <w:ind w:firstLine="708"/>
        <w:jc w:val="both"/>
        <w:rPr>
          <w:rFonts w:ascii="Times New Roman" w:hAnsi="Times New Roman" w:cs="Times New Roman"/>
          <w:sz w:val="24"/>
          <w:szCs w:val="24"/>
        </w:rPr>
      </w:pPr>
      <w:r w:rsidRPr="00853881">
        <w:rPr>
          <w:rFonts w:ascii="Times New Roman" w:hAnsi="Times New Roman" w:cs="Times New Roman"/>
          <w:sz w:val="24"/>
          <w:szCs w:val="24"/>
        </w:rPr>
        <w:t>Primeiro,  os valores dos gráficos</w:t>
      </w:r>
      <w:r w:rsidR="002763E7" w:rsidRPr="00853881">
        <w:rPr>
          <w:rFonts w:ascii="Times New Roman" w:hAnsi="Times New Roman" w:cs="Times New Roman"/>
          <w:sz w:val="24"/>
          <w:szCs w:val="24"/>
        </w:rPr>
        <w:t xml:space="preserve"> </w:t>
      </w:r>
      <w:r w:rsidRPr="00853881">
        <w:rPr>
          <w:rFonts w:ascii="Times New Roman" w:hAnsi="Times New Roman" w:cs="Times New Roman"/>
          <w:sz w:val="24"/>
          <w:szCs w:val="24"/>
        </w:rPr>
        <w:t>indicam</w:t>
      </w:r>
      <w:r w:rsidR="002763E7" w:rsidRPr="00853881">
        <w:rPr>
          <w:rFonts w:ascii="Times New Roman" w:hAnsi="Times New Roman" w:cs="Times New Roman"/>
          <w:sz w:val="24"/>
          <w:szCs w:val="24"/>
        </w:rPr>
        <w:t xml:space="preserve"> que os estados com maior renda per capita total também são aqueles com maior participação nas rendas per capita dos indivíduos mais escolarizados.</w:t>
      </w:r>
      <w:r w:rsidRPr="00853881">
        <w:rPr>
          <w:rFonts w:ascii="Times New Roman" w:hAnsi="Times New Roman" w:cs="Times New Roman"/>
          <w:sz w:val="24"/>
          <w:szCs w:val="24"/>
        </w:rPr>
        <w:t xml:space="preserve"> Por exemplo, enquanto para o Distrito Federal aparcela na renda total derivada dos indivíduos com Ensino Superior estava acima de 1,6% em 2011, para o Maranhão tal parcela situava-se abaixo de 0,1% do total. Segundo, </w:t>
      </w:r>
      <w:r w:rsidR="002763E7" w:rsidRPr="00853881">
        <w:rPr>
          <w:rFonts w:ascii="Times New Roman" w:hAnsi="Times New Roman" w:cs="Times New Roman"/>
          <w:sz w:val="24"/>
          <w:szCs w:val="24"/>
        </w:rPr>
        <w:t xml:space="preserve">a renda per capita referente às pessoas com ensino médio </w:t>
      </w:r>
      <w:r w:rsidRPr="00853881">
        <w:rPr>
          <w:rFonts w:ascii="Times New Roman" w:hAnsi="Times New Roman" w:cs="Times New Roman"/>
          <w:sz w:val="24"/>
          <w:szCs w:val="24"/>
        </w:rPr>
        <w:t xml:space="preserve"> (Gráfico 2) </w:t>
      </w:r>
      <w:r w:rsidR="002763E7" w:rsidRPr="00853881">
        <w:rPr>
          <w:rFonts w:ascii="Times New Roman" w:hAnsi="Times New Roman" w:cs="Times New Roman"/>
          <w:sz w:val="24"/>
          <w:szCs w:val="24"/>
        </w:rPr>
        <w:t>é mais dispersa entre os estados do que a renda dos indivíduos com ensino superior</w:t>
      </w:r>
      <w:r w:rsidRPr="00853881">
        <w:rPr>
          <w:rFonts w:ascii="Times New Roman" w:hAnsi="Times New Roman" w:cs="Times New Roman"/>
          <w:sz w:val="24"/>
          <w:szCs w:val="24"/>
        </w:rPr>
        <w:t xml:space="preserve"> (Gráfico 3)</w:t>
      </w:r>
      <w:r w:rsidR="002763E7" w:rsidRPr="00853881">
        <w:rPr>
          <w:rFonts w:ascii="Times New Roman" w:hAnsi="Times New Roman" w:cs="Times New Roman"/>
          <w:sz w:val="24"/>
          <w:szCs w:val="24"/>
        </w:rPr>
        <w:t xml:space="preserve">, a qual apresenta forte concentração nos estados mais ricos. </w:t>
      </w:r>
      <w:r w:rsidR="00543EE6" w:rsidRPr="00853881">
        <w:rPr>
          <w:rFonts w:ascii="Times New Roman" w:hAnsi="Times New Roman" w:cs="Times New Roman"/>
          <w:sz w:val="24"/>
          <w:szCs w:val="24"/>
        </w:rPr>
        <w:t>Finalmente</w:t>
      </w:r>
      <w:r w:rsidR="002763E7" w:rsidRPr="00853881">
        <w:rPr>
          <w:rFonts w:ascii="Times New Roman" w:hAnsi="Times New Roman" w:cs="Times New Roman"/>
          <w:sz w:val="24"/>
          <w:szCs w:val="24"/>
        </w:rPr>
        <w:t>, ao longo do tempo</w:t>
      </w:r>
      <w:r w:rsidR="00543EE6" w:rsidRPr="00853881">
        <w:rPr>
          <w:rFonts w:ascii="Times New Roman" w:hAnsi="Times New Roman" w:cs="Times New Roman"/>
          <w:sz w:val="24"/>
          <w:szCs w:val="24"/>
        </w:rPr>
        <w:t>,</w:t>
      </w:r>
      <w:r w:rsidR="002763E7" w:rsidRPr="00853881">
        <w:rPr>
          <w:rFonts w:ascii="Times New Roman" w:hAnsi="Times New Roman" w:cs="Times New Roman"/>
          <w:sz w:val="24"/>
          <w:szCs w:val="24"/>
        </w:rPr>
        <w:t xml:space="preserve"> observa-se um maior crescimento da participação dos estados mais pobres na renda dos indivíduos com ensino médio completo do que para o caso dos </w:t>
      </w:r>
      <w:r w:rsidR="00853881" w:rsidRPr="00853881">
        <w:rPr>
          <w:rFonts w:ascii="Times New Roman" w:hAnsi="Times New Roman" w:cs="Times New Roman"/>
          <w:sz w:val="24"/>
          <w:szCs w:val="24"/>
        </w:rPr>
        <w:t>indivíduos com ensino superior.</w:t>
      </w:r>
    </w:p>
    <w:p w14:paraId="23C3BA16" w14:textId="00ADA272" w:rsidR="002763E7" w:rsidRPr="00853881" w:rsidRDefault="00543EE6" w:rsidP="00F834F8">
      <w:pPr>
        <w:spacing w:after="0" w:line="360" w:lineRule="auto"/>
        <w:ind w:firstLine="708"/>
        <w:jc w:val="both"/>
        <w:rPr>
          <w:rFonts w:ascii="Times New Roman" w:hAnsi="Times New Roman" w:cs="Times New Roman"/>
          <w:sz w:val="24"/>
          <w:szCs w:val="24"/>
        </w:rPr>
      </w:pPr>
      <w:r w:rsidRPr="00853881">
        <w:rPr>
          <w:rFonts w:ascii="Times New Roman" w:hAnsi="Times New Roman" w:cs="Times New Roman"/>
          <w:sz w:val="24"/>
          <w:szCs w:val="24"/>
        </w:rPr>
        <w:t>Mais especificamente, enquanto quatro dos cinco estados mais pobres apresentaram aumento da participação na renda total associada ao indivíduos com Ensino Médio ou Superior Incompleto entre 1995 e 2011, apenas dois dos cinco estados mais ricos apresentaram aumento de suas participações na renda total desta fonte de renda no mesmo período. Para a  fonte de renda associada aos indivíduos com Ensino Superior, todavia, apenas um estado entre os cinco mais pobres apresentou elevação de sua participação no total no mesmo período, número que vai a dois quando se considera as cinco unidades federativas mais ricas.</w:t>
      </w:r>
    </w:p>
    <w:p w14:paraId="26C6A002" w14:textId="77777777" w:rsidR="002763E7" w:rsidRPr="00853881" w:rsidRDefault="002763E7" w:rsidP="002763E7">
      <w:pPr>
        <w:spacing w:after="0" w:line="360" w:lineRule="auto"/>
        <w:ind w:firstLine="709"/>
        <w:jc w:val="both"/>
        <w:rPr>
          <w:rFonts w:ascii="Times New Roman" w:hAnsi="Times New Roman" w:cs="Times New Roman"/>
          <w:sz w:val="24"/>
          <w:szCs w:val="24"/>
        </w:rPr>
      </w:pPr>
    </w:p>
    <w:p w14:paraId="2CF5212E" w14:textId="4A6B6B2B" w:rsidR="002763E7" w:rsidRPr="00853881" w:rsidRDefault="002763E7" w:rsidP="00543EE6">
      <w:pPr>
        <w:spacing w:after="0" w:line="360" w:lineRule="auto"/>
        <w:ind w:left="708" w:firstLine="1"/>
        <w:jc w:val="both"/>
        <w:rPr>
          <w:rFonts w:ascii="Times New Roman" w:hAnsi="Times New Roman" w:cs="Times New Roman"/>
          <w:sz w:val="24"/>
          <w:szCs w:val="24"/>
        </w:rPr>
      </w:pPr>
      <w:r w:rsidRPr="00853881">
        <w:rPr>
          <w:rFonts w:ascii="Times New Roman" w:hAnsi="Times New Roman" w:cs="Times New Roman"/>
          <w:sz w:val="24"/>
          <w:szCs w:val="24"/>
        </w:rPr>
        <w:t xml:space="preserve">Gráfico 2 – </w:t>
      </w:r>
      <w:r w:rsidR="00543EE6" w:rsidRPr="00853881">
        <w:rPr>
          <w:rFonts w:ascii="Times New Roman" w:hAnsi="Times New Roman" w:cs="Times New Roman"/>
          <w:sz w:val="24"/>
          <w:szCs w:val="24"/>
        </w:rPr>
        <w:t>Parcela de</w:t>
      </w:r>
      <w:r w:rsidR="000A1CA7" w:rsidRPr="00853881">
        <w:rPr>
          <w:rFonts w:ascii="Times New Roman" w:hAnsi="Times New Roman" w:cs="Times New Roman"/>
          <w:sz w:val="24"/>
          <w:szCs w:val="24"/>
        </w:rPr>
        <w:t xml:space="preserve"> renda </w:t>
      </w:r>
      <w:r w:rsidR="00543EE6" w:rsidRPr="00853881">
        <w:rPr>
          <w:rFonts w:ascii="Times New Roman" w:hAnsi="Times New Roman" w:cs="Times New Roman"/>
          <w:sz w:val="24"/>
          <w:szCs w:val="24"/>
        </w:rPr>
        <w:t>associada aos</w:t>
      </w:r>
      <w:r w:rsidR="000A1CA7" w:rsidRPr="00853881">
        <w:rPr>
          <w:rFonts w:ascii="Times New Roman" w:hAnsi="Times New Roman" w:cs="Times New Roman"/>
          <w:sz w:val="24"/>
          <w:szCs w:val="24"/>
        </w:rPr>
        <w:t xml:space="preserve"> indivíduos com ensino </w:t>
      </w:r>
      <w:r w:rsidR="00543EE6" w:rsidRPr="00853881">
        <w:rPr>
          <w:rFonts w:ascii="Times New Roman" w:hAnsi="Times New Roman" w:cs="Times New Roman"/>
          <w:sz w:val="24"/>
          <w:szCs w:val="24"/>
        </w:rPr>
        <w:t>Médio C</w:t>
      </w:r>
      <w:r w:rsidRPr="00853881">
        <w:rPr>
          <w:rFonts w:ascii="Times New Roman" w:hAnsi="Times New Roman" w:cs="Times New Roman"/>
          <w:sz w:val="24"/>
          <w:szCs w:val="24"/>
        </w:rPr>
        <w:t xml:space="preserve">ompleto </w:t>
      </w:r>
      <w:r w:rsidR="00543EE6" w:rsidRPr="00853881">
        <w:rPr>
          <w:rFonts w:ascii="Times New Roman" w:hAnsi="Times New Roman" w:cs="Times New Roman"/>
          <w:sz w:val="24"/>
          <w:szCs w:val="24"/>
        </w:rPr>
        <w:t xml:space="preserve">ou Superior Incompleto </w:t>
      </w:r>
      <w:r w:rsidR="000A1CA7" w:rsidRPr="00853881">
        <w:rPr>
          <w:rFonts w:ascii="Times New Roman" w:hAnsi="Times New Roman" w:cs="Times New Roman"/>
          <w:sz w:val="24"/>
          <w:szCs w:val="24"/>
        </w:rPr>
        <w:t xml:space="preserve"> - Unidade da Federação.</w:t>
      </w:r>
    </w:p>
    <w:p w14:paraId="53069AE1" w14:textId="77777777" w:rsidR="002763E7" w:rsidRDefault="002763E7" w:rsidP="002763E7">
      <w:pPr>
        <w:spacing w:after="0" w:line="360" w:lineRule="auto"/>
        <w:ind w:firstLine="709"/>
        <w:jc w:val="both"/>
        <w:rPr>
          <w:rFonts w:ascii="Times New Roman" w:hAnsi="Times New Roman" w:cs="Times New Roman"/>
          <w:color w:val="000000" w:themeColor="text1"/>
          <w:sz w:val="24"/>
          <w:szCs w:val="24"/>
        </w:rPr>
      </w:pPr>
    </w:p>
    <w:p w14:paraId="3F709A48" w14:textId="77777777" w:rsidR="002763E7" w:rsidRDefault="002763E7" w:rsidP="002763E7">
      <w:pPr>
        <w:spacing w:after="0" w:line="360" w:lineRule="auto"/>
        <w:ind w:firstLine="709"/>
        <w:jc w:val="both"/>
        <w:rPr>
          <w:rFonts w:ascii="Times New Roman" w:hAnsi="Times New Roman" w:cs="Times New Roman"/>
          <w:color w:val="000000" w:themeColor="text1"/>
          <w:sz w:val="24"/>
          <w:szCs w:val="24"/>
        </w:rPr>
      </w:pPr>
      <w:r>
        <w:rPr>
          <w:noProof/>
          <w:lang w:val="en-US"/>
        </w:rPr>
        <w:lastRenderedPageBreak/>
        <w:drawing>
          <wp:inline distT="0" distB="0" distL="0" distR="0" wp14:anchorId="433A613F" wp14:editId="31B177FE">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DB8F40" w14:textId="2C74103E" w:rsidR="002763E7" w:rsidRPr="00853881" w:rsidRDefault="002763E7" w:rsidP="000A1CA7">
      <w:pPr>
        <w:spacing w:after="0" w:line="360" w:lineRule="auto"/>
        <w:ind w:left="708" w:firstLine="1"/>
        <w:jc w:val="both"/>
        <w:rPr>
          <w:rFonts w:ascii="Times New Roman" w:hAnsi="Times New Roman" w:cs="Times New Roman"/>
          <w:sz w:val="20"/>
          <w:szCs w:val="20"/>
        </w:rPr>
      </w:pPr>
      <w:r w:rsidRPr="00853881">
        <w:rPr>
          <w:rFonts w:ascii="Times New Roman" w:hAnsi="Times New Roman" w:cs="Times New Roman"/>
          <w:b/>
          <w:sz w:val="20"/>
          <w:szCs w:val="20"/>
        </w:rPr>
        <w:t>Fonte:</w:t>
      </w:r>
      <w:r w:rsidRPr="00853881">
        <w:rPr>
          <w:rFonts w:ascii="Times New Roman" w:hAnsi="Times New Roman" w:cs="Times New Roman"/>
          <w:sz w:val="20"/>
          <w:szCs w:val="20"/>
        </w:rPr>
        <w:t xml:space="preserve"> elaboração própria com base nos dados da PNAD/IBGE.</w:t>
      </w:r>
      <w:r w:rsidR="000A1CA7" w:rsidRPr="00853881">
        <w:rPr>
          <w:rFonts w:ascii="Times New Roman" w:hAnsi="Times New Roman" w:cs="Times New Roman"/>
          <w:sz w:val="20"/>
          <w:szCs w:val="20"/>
        </w:rPr>
        <w:t xml:space="preserve"> Estados ordenados de forma crescente de acordo com a renda per capita de 1995.</w:t>
      </w:r>
    </w:p>
    <w:p w14:paraId="4B1374F3" w14:textId="77777777" w:rsidR="002763E7" w:rsidRPr="00853881" w:rsidRDefault="002763E7" w:rsidP="002763E7">
      <w:pPr>
        <w:spacing w:after="0" w:line="360" w:lineRule="auto"/>
        <w:ind w:firstLine="709"/>
        <w:jc w:val="both"/>
        <w:rPr>
          <w:rFonts w:ascii="Times New Roman" w:hAnsi="Times New Roman" w:cs="Times New Roman"/>
          <w:sz w:val="24"/>
          <w:szCs w:val="24"/>
        </w:rPr>
      </w:pPr>
    </w:p>
    <w:p w14:paraId="447A5AEE" w14:textId="02A91AC1" w:rsidR="002763E7" w:rsidRPr="00853881" w:rsidRDefault="002763E7" w:rsidP="000A1CA7">
      <w:pPr>
        <w:spacing w:after="0" w:line="360" w:lineRule="auto"/>
        <w:ind w:left="708" w:firstLine="1"/>
        <w:jc w:val="both"/>
        <w:rPr>
          <w:rFonts w:ascii="Times New Roman" w:hAnsi="Times New Roman" w:cs="Times New Roman"/>
          <w:sz w:val="24"/>
          <w:szCs w:val="24"/>
        </w:rPr>
      </w:pPr>
      <w:r w:rsidRPr="00853881">
        <w:rPr>
          <w:rFonts w:ascii="Times New Roman" w:hAnsi="Times New Roman" w:cs="Times New Roman"/>
          <w:sz w:val="24"/>
          <w:szCs w:val="24"/>
        </w:rPr>
        <w:t xml:space="preserve">Gráfico 3 - </w:t>
      </w:r>
      <w:r w:rsidR="000A1CA7" w:rsidRPr="00853881">
        <w:rPr>
          <w:rFonts w:ascii="Times New Roman" w:hAnsi="Times New Roman" w:cs="Times New Roman"/>
          <w:sz w:val="24"/>
          <w:szCs w:val="24"/>
        </w:rPr>
        <w:t>Parcela de renda associada aos indivíduos com Superior Completo  - Unidade da Federação</w:t>
      </w:r>
    </w:p>
    <w:p w14:paraId="24FF2F55" w14:textId="77777777" w:rsidR="002763E7" w:rsidRDefault="002763E7" w:rsidP="002763E7">
      <w:pPr>
        <w:spacing w:after="0" w:line="360" w:lineRule="auto"/>
        <w:ind w:firstLine="709"/>
        <w:jc w:val="both"/>
        <w:rPr>
          <w:rFonts w:ascii="Times New Roman" w:hAnsi="Times New Roman" w:cs="Times New Roman"/>
          <w:color w:val="000000" w:themeColor="text1"/>
          <w:sz w:val="24"/>
          <w:szCs w:val="24"/>
        </w:rPr>
      </w:pPr>
      <w:r>
        <w:rPr>
          <w:noProof/>
          <w:lang w:val="en-US"/>
        </w:rPr>
        <w:drawing>
          <wp:inline distT="0" distB="0" distL="0" distR="0" wp14:anchorId="00551768" wp14:editId="5B6F92DF">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B20383" w14:textId="77777777" w:rsidR="000A1CA7" w:rsidRPr="00853881" w:rsidRDefault="002763E7" w:rsidP="000A1CA7">
      <w:pPr>
        <w:spacing w:after="0" w:line="360" w:lineRule="auto"/>
        <w:ind w:left="708" w:firstLine="1"/>
        <w:jc w:val="both"/>
        <w:rPr>
          <w:rFonts w:ascii="Times New Roman" w:hAnsi="Times New Roman" w:cs="Times New Roman"/>
          <w:sz w:val="20"/>
          <w:szCs w:val="20"/>
        </w:rPr>
      </w:pPr>
      <w:r w:rsidRPr="00853881">
        <w:rPr>
          <w:rFonts w:ascii="Times New Roman" w:hAnsi="Times New Roman" w:cs="Times New Roman"/>
          <w:b/>
          <w:sz w:val="20"/>
          <w:szCs w:val="20"/>
        </w:rPr>
        <w:t>Fonte:</w:t>
      </w:r>
      <w:r w:rsidRPr="00853881">
        <w:rPr>
          <w:rFonts w:ascii="Times New Roman" w:hAnsi="Times New Roman" w:cs="Times New Roman"/>
          <w:sz w:val="20"/>
          <w:szCs w:val="20"/>
        </w:rPr>
        <w:t xml:space="preserve"> elaboração própria com base nos dados da PNAD/IBGE.</w:t>
      </w:r>
      <w:r w:rsidR="000A1CA7" w:rsidRPr="00853881">
        <w:rPr>
          <w:rFonts w:ascii="Times New Roman" w:hAnsi="Times New Roman" w:cs="Times New Roman"/>
          <w:sz w:val="20"/>
          <w:szCs w:val="20"/>
        </w:rPr>
        <w:t xml:space="preserve"> Estados ordenados de forma crescente de acordo com a renda per capita de 1995.</w:t>
      </w:r>
    </w:p>
    <w:p w14:paraId="422B9080" w14:textId="77777777" w:rsidR="002763E7" w:rsidRPr="00853881" w:rsidRDefault="002763E7" w:rsidP="000A1CA7">
      <w:pPr>
        <w:spacing w:after="0" w:line="360" w:lineRule="auto"/>
        <w:jc w:val="both"/>
        <w:rPr>
          <w:rFonts w:ascii="Times New Roman" w:hAnsi="Times New Roman" w:cs="Times New Roman"/>
          <w:sz w:val="24"/>
          <w:szCs w:val="24"/>
        </w:rPr>
      </w:pPr>
    </w:p>
    <w:p w14:paraId="6EE46E07" w14:textId="56BC43BE" w:rsidR="00743989" w:rsidRPr="000A1CA7" w:rsidRDefault="000A1CA7" w:rsidP="000A1CA7">
      <w:pPr>
        <w:spacing w:after="0" w:line="360" w:lineRule="auto"/>
        <w:ind w:firstLine="709"/>
        <w:jc w:val="both"/>
        <w:rPr>
          <w:rFonts w:ascii="Times New Roman" w:hAnsi="Times New Roman" w:cs="Times New Roman"/>
          <w:b/>
          <w:color w:val="000000" w:themeColor="text1"/>
          <w:sz w:val="24"/>
          <w:szCs w:val="24"/>
        </w:rPr>
      </w:pPr>
      <w:r w:rsidRPr="00853881">
        <w:rPr>
          <w:rFonts w:ascii="Times New Roman" w:hAnsi="Times New Roman" w:cs="Times New Roman"/>
          <w:sz w:val="24"/>
          <w:szCs w:val="24"/>
        </w:rPr>
        <w:t xml:space="preserve">Com o objetivo de estudar a influência dos movimentos de renda associados a diferentes níveis de escolaridade sobre a desigualdade regional de renda no Brasil entre 1995 e 2011, </w:t>
      </w:r>
      <w:r>
        <w:rPr>
          <w:rFonts w:ascii="Times New Roman" w:hAnsi="Times New Roman" w:cs="Times New Roman"/>
          <w:color w:val="000000" w:themeColor="text1"/>
          <w:sz w:val="24"/>
          <w:szCs w:val="24"/>
        </w:rPr>
        <w:t>n</w:t>
      </w:r>
      <w:r w:rsidR="00743989" w:rsidRPr="00274ECC">
        <w:rPr>
          <w:rFonts w:ascii="Times New Roman" w:hAnsi="Times New Roman" w:cs="Times New Roman"/>
          <w:color w:val="000000" w:themeColor="text1"/>
          <w:sz w:val="24"/>
          <w:szCs w:val="24"/>
        </w:rPr>
        <w:t xml:space="preserve">este trabalho, são considerados dois grandes grupos de fontes de renda: a </w:t>
      </w:r>
      <w:r w:rsidR="00743989" w:rsidRPr="00274ECC">
        <w:rPr>
          <w:rFonts w:ascii="Times New Roman" w:hAnsi="Times New Roman" w:cs="Times New Roman"/>
          <w:color w:val="000000" w:themeColor="text1"/>
          <w:sz w:val="24"/>
          <w:szCs w:val="24"/>
        </w:rPr>
        <w:lastRenderedPageBreak/>
        <w:t>renda do trabalho e a renda de fontes não associadas ao trabalho. No sentido de obter uma associação entre a renda gerada e o nível de escolaridade, para o primeiro grupo, considera-se ainda a seguinte subdivisão da renda do trabalho:</w:t>
      </w:r>
    </w:p>
    <w:p w14:paraId="4C5DEDEA" w14:textId="2F4E18D7"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trabalho das pessoas analfabetas ou com fundamental incompleto (até terce</w:t>
      </w:r>
      <w:r w:rsidR="000A1CA7">
        <w:rPr>
          <w:rFonts w:ascii="Times New Roman" w:hAnsi="Times New Roman" w:cs="Times New Roman"/>
          <w:color w:val="000000" w:themeColor="text1"/>
          <w:sz w:val="24"/>
          <w:szCs w:val="24"/>
        </w:rPr>
        <w:t>ira série), denotada por Escol1.</w:t>
      </w:r>
    </w:p>
    <w:p w14:paraId="4A7D0F16" w14:textId="5A95CED5"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trabalho das pessoas com fundamental incompleto (até sét</w:t>
      </w:r>
      <w:r w:rsidR="000A1CA7">
        <w:rPr>
          <w:rFonts w:ascii="Times New Roman" w:hAnsi="Times New Roman" w:cs="Times New Roman"/>
          <w:color w:val="000000" w:themeColor="text1"/>
          <w:sz w:val="24"/>
          <w:szCs w:val="24"/>
        </w:rPr>
        <w:t>ima série), denotada por Escol2.</w:t>
      </w:r>
    </w:p>
    <w:p w14:paraId="3AB89A1B" w14:textId="0C84AB6A"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trabalho das pessoas com ensino fundamental completo e ensino médio i</w:t>
      </w:r>
      <w:r w:rsidR="000A1CA7">
        <w:rPr>
          <w:rFonts w:ascii="Times New Roman" w:hAnsi="Times New Roman" w:cs="Times New Roman"/>
          <w:color w:val="000000" w:themeColor="text1"/>
          <w:sz w:val="24"/>
          <w:szCs w:val="24"/>
        </w:rPr>
        <w:t>ncompleto, denotada por Escol3.</w:t>
      </w:r>
    </w:p>
    <w:p w14:paraId="56FCD2DA" w14:textId="0C7E0BD8"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Renda do trabalho das pessoas com ensino médio completo e ensino superior </w:t>
      </w:r>
      <w:r w:rsidR="000A1CA7">
        <w:rPr>
          <w:rFonts w:ascii="Times New Roman" w:hAnsi="Times New Roman" w:cs="Times New Roman"/>
          <w:color w:val="000000" w:themeColor="text1"/>
          <w:sz w:val="24"/>
          <w:szCs w:val="24"/>
        </w:rPr>
        <w:t>incompleto, denotada por Escol4.</w:t>
      </w:r>
    </w:p>
    <w:p w14:paraId="3C31D541" w14:textId="77777777"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trabalho das pessoas com ensino superior completo, denotada por Escol5.</w:t>
      </w:r>
    </w:p>
    <w:p w14:paraId="5ECEF335" w14:textId="77777777" w:rsidR="00743989" w:rsidRPr="00274ECC" w:rsidRDefault="00743989" w:rsidP="003C3441">
      <w:pPr>
        <w:pStyle w:val="ListParagraph"/>
        <w:spacing w:after="0" w:line="360" w:lineRule="auto"/>
        <w:jc w:val="both"/>
        <w:rPr>
          <w:rFonts w:ascii="Times New Roman" w:hAnsi="Times New Roman" w:cs="Times New Roman"/>
          <w:color w:val="000000" w:themeColor="text1"/>
          <w:sz w:val="24"/>
          <w:szCs w:val="24"/>
        </w:rPr>
      </w:pPr>
    </w:p>
    <w:p w14:paraId="445514DE"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Deve-se reconhecer que tais fontes de renda do trabalho associadas à escolaridade refletem movimentos tanto dos condicionantes da oferta, como de condicionantes da demanda de trabalho. Mais especificamente, os níveis e mudanças nestas fontes de renda refletem, ao mesmo tempo, tanto os níveis e elevação da escolaridade da força de trabalho local, como potenciais mudanças na estrutura produtiva que influenciem os níveis de utilização da força de trabalho das unidades da federação de acordo com a escolaridade. Assim, por exemplo, a elevação da renda do trabalho associada aos níveis de escolaridade do determinado estado brasileiro pode refletir tanto o maior investimento educacional, como uma mudança de demanda associado a um processo de maior industrialização.</w:t>
      </w:r>
    </w:p>
    <w:p w14:paraId="0F0E4F9C"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3310C7AC" w14:textId="24704F4C"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Com relação ao segundo</w:t>
      </w:r>
      <w:r w:rsidR="000A1CA7">
        <w:rPr>
          <w:rFonts w:ascii="Times New Roman" w:hAnsi="Times New Roman" w:cs="Times New Roman"/>
          <w:color w:val="000000" w:themeColor="text1"/>
          <w:sz w:val="24"/>
          <w:szCs w:val="24"/>
        </w:rPr>
        <w:t xml:space="preserve"> </w:t>
      </w:r>
      <w:r w:rsidR="000A1CA7" w:rsidRPr="00853881">
        <w:rPr>
          <w:rFonts w:ascii="Times New Roman" w:hAnsi="Times New Roman" w:cs="Times New Roman"/>
          <w:sz w:val="24"/>
          <w:szCs w:val="24"/>
        </w:rPr>
        <w:t>(rendas não associadas ao trabalho)</w:t>
      </w:r>
      <w:r w:rsidRPr="00853881">
        <w:rPr>
          <w:rFonts w:ascii="Times New Roman" w:hAnsi="Times New Roman" w:cs="Times New Roman"/>
          <w:sz w:val="24"/>
          <w:szCs w:val="24"/>
        </w:rPr>
        <w:t xml:space="preserve">, </w:t>
      </w:r>
      <w:r w:rsidRPr="00274ECC">
        <w:rPr>
          <w:rFonts w:ascii="Times New Roman" w:hAnsi="Times New Roman" w:cs="Times New Roman"/>
          <w:color w:val="000000" w:themeColor="text1"/>
          <w:sz w:val="24"/>
          <w:szCs w:val="24"/>
        </w:rPr>
        <w:t>há também cinco fontes diferentes de renda:</w:t>
      </w:r>
    </w:p>
    <w:p w14:paraId="25C8ED93" w14:textId="03615E9E"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de pensões e a</w:t>
      </w:r>
      <w:r w:rsidR="000A1CA7">
        <w:rPr>
          <w:rFonts w:ascii="Times New Roman" w:hAnsi="Times New Roman" w:cs="Times New Roman"/>
          <w:color w:val="000000" w:themeColor="text1"/>
          <w:sz w:val="24"/>
          <w:szCs w:val="24"/>
        </w:rPr>
        <w:t>posentadorias, denotada por APP.</w:t>
      </w:r>
    </w:p>
    <w:p w14:paraId="284EDCF2" w14:textId="093BF406"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Programa</w:t>
      </w:r>
      <w:r w:rsidR="000A1CA7">
        <w:rPr>
          <w:rFonts w:ascii="Times New Roman" w:hAnsi="Times New Roman" w:cs="Times New Roman"/>
          <w:color w:val="000000" w:themeColor="text1"/>
          <w:sz w:val="24"/>
          <w:szCs w:val="24"/>
        </w:rPr>
        <w:t xml:space="preserve"> Bolsa Família, denotada por BF.</w:t>
      </w:r>
    </w:p>
    <w:p w14:paraId="747F00C2" w14:textId="05A6A951"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Benefício de Prestaç</w:t>
      </w:r>
      <w:r w:rsidR="000A1CA7">
        <w:rPr>
          <w:rFonts w:ascii="Times New Roman" w:hAnsi="Times New Roman" w:cs="Times New Roman"/>
          <w:color w:val="000000" w:themeColor="text1"/>
          <w:sz w:val="24"/>
          <w:szCs w:val="24"/>
        </w:rPr>
        <w:t>ão Continuada, denotada por BPC.</w:t>
      </w:r>
    </w:p>
    <w:p w14:paraId="474D124E" w14:textId="33204F88" w:rsidR="00743989" w:rsidRPr="00274ECC" w:rsidRDefault="00743989" w:rsidP="003C3441">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do capital e outras</w:t>
      </w:r>
      <w:r w:rsidR="000A1CA7">
        <w:rPr>
          <w:rFonts w:ascii="Times New Roman" w:hAnsi="Times New Roman" w:cs="Times New Roman"/>
          <w:color w:val="000000" w:themeColor="text1"/>
          <w:sz w:val="24"/>
          <w:szCs w:val="24"/>
        </w:rPr>
        <w:t xml:space="preserve"> fontes, denotada por “Capital”.</w:t>
      </w:r>
    </w:p>
    <w:p w14:paraId="669A5BC7" w14:textId="377A33A2" w:rsidR="00743989" w:rsidRPr="000A1CA7" w:rsidRDefault="00743989" w:rsidP="000A1CA7">
      <w:pPr>
        <w:pStyle w:val="ListParagraph"/>
        <w:numPr>
          <w:ilvl w:val="0"/>
          <w:numId w:val="1"/>
        </w:numPr>
        <w:spacing w:after="0" w:line="360" w:lineRule="auto"/>
        <w:ind w:firstLine="0"/>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Renda de aluguéis, abonos e doações, denotada por “Alugueis”.</w:t>
      </w:r>
    </w:p>
    <w:p w14:paraId="661B988E" w14:textId="09D769D0" w:rsidR="000A1CA7" w:rsidRPr="00853881" w:rsidRDefault="000A1CA7" w:rsidP="003C3441">
      <w:pPr>
        <w:spacing w:after="0" w:line="360" w:lineRule="auto"/>
        <w:ind w:firstLine="709"/>
        <w:jc w:val="both"/>
        <w:rPr>
          <w:rFonts w:ascii="Times New Roman" w:hAnsi="Times New Roman" w:cs="Times New Roman"/>
          <w:sz w:val="24"/>
          <w:szCs w:val="24"/>
        </w:rPr>
      </w:pPr>
      <w:r w:rsidRPr="00853881">
        <w:rPr>
          <w:rFonts w:ascii="Times New Roman" w:hAnsi="Times New Roman" w:cs="Times New Roman"/>
          <w:sz w:val="24"/>
          <w:szCs w:val="24"/>
        </w:rPr>
        <w:lastRenderedPageBreak/>
        <w:t>Embora não seja objetivo principal deste trabalho a análise específica da</w:t>
      </w:r>
      <w:r w:rsidR="007A2E4C" w:rsidRPr="00853881">
        <w:rPr>
          <w:rFonts w:ascii="Times New Roman" w:hAnsi="Times New Roman" w:cs="Times New Roman"/>
          <w:sz w:val="24"/>
          <w:szCs w:val="24"/>
        </w:rPr>
        <w:t>s</w:t>
      </w:r>
      <w:r w:rsidRPr="00853881">
        <w:rPr>
          <w:rFonts w:ascii="Times New Roman" w:hAnsi="Times New Roman" w:cs="Times New Roman"/>
          <w:sz w:val="24"/>
          <w:szCs w:val="24"/>
        </w:rPr>
        <w:t xml:space="preserve"> contribuiç</w:t>
      </w:r>
      <w:r w:rsidR="007A2E4C" w:rsidRPr="00853881">
        <w:rPr>
          <w:rFonts w:ascii="Times New Roman" w:hAnsi="Times New Roman" w:cs="Times New Roman"/>
          <w:sz w:val="24"/>
          <w:szCs w:val="24"/>
        </w:rPr>
        <w:t>ões</w:t>
      </w:r>
      <w:r w:rsidRPr="00853881">
        <w:rPr>
          <w:rFonts w:ascii="Times New Roman" w:hAnsi="Times New Roman" w:cs="Times New Roman"/>
          <w:sz w:val="24"/>
          <w:szCs w:val="24"/>
        </w:rPr>
        <w:t xml:space="preserve"> desta</w:t>
      </w:r>
      <w:r w:rsidR="007A2E4C" w:rsidRPr="00853881">
        <w:rPr>
          <w:rFonts w:ascii="Times New Roman" w:hAnsi="Times New Roman" w:cs="Times New Roman"/>
          <w:sz w:val="24"/>
          <w:szCs w:val="24"/>
        </w:rPr>
        <w:t>s</w:t>
      </w:r>
      <w:r w:rsidRPr="00853881">
        <w:rPr>
          <w:rFonts w:ascii="Times New Roman" w:hAnsi="Times New Roman" w:cs="Times New Roman"/>
          <w:sz w:val="24"/>
          <w:szCs w:val="24"/>
        </w:rPr>
        <w:t xml:space="preserve"> fontes de renda não associadas ao trabalho sobre a desigualdade regional de </w:t>
      </w:r>
      <w:r w:rsidR="007A2E4C" w:rsidRPr="00853881">
        <w:rPr>
          <w:rFonts w:ascii="Times New Roman" w:hAnsi="Times New Roman" w:cs="Times New Roman"/>
          <w:sz w:val="24"/>
          <w:szCs w:val="24"/>
        </w:rPr>
        <w:t xml:space="preserve">renda no Brasil, </w:t>
      </w:r>
      <w:r w:rsidRPr="00853881">
        <w:rPr>
          <w:rFonts w:ascii="Times New Roman" w:hAnsi="Times New Roman" w:cs="Times New Roman"/>
          <w:sz w:val="24"/>
          <w:szCs w:val="24"/>
        </w:rPr>
        <w:t>do ponto de vista da política pública,</w:t>
      </w:r>
      <w:r w:rsidR="007A2E4C" w:rsidRPr="00853881">
        <w:rPr>
          <w:rFonts w:ascii="Times New Roman" w:hAnsi="Times New Roman" w:cs="Times New Roman"/>
          <w:sz w:val="24"/>
          <w:szCs w:val="24"/>
        </w:rPr>
        <w:t xml:space="preserve"> tais contribuições são informativas e úteis, uma vez que permitem dimensionar os movimentos de renda favoráveis ou desfavoráveis à concentração regional associados aos diferentes níveis de escolaridade.</w:t>
      </w:r>
    </w:p>
    <w:p w14:paraId="4ABFCBEA"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Com respeito a estas fontes de renda, é importante ressaltar que, enquanto para os grupos de renda do trabalho associados à escolaridade as informações são prontamente disponíveis para processamento a partir dos microdados da PNAD, para as fontes de renda dos programas sociais (BF e BPC), do grupo da renda não associada ao trabalho, tais informações não são imediatamente disponíveis nos microdados da PNAD, tendo que ser, portanto, imputadas a partir de outras informações. Neste sentido, nesta pesquisa, tanto para o Programa Bolsa Família, como para o Benefício de Prestação Continuada seguiu-se o expediente utilizado por Souza (2013) e por Soares </w:t>
      </w:r>
      <w:r w:rsidRPr="00274ECC">
        <w:rPr>
          <w:rFonts w:ascii="Times New Roman" w:hAnsi="Times New Roman" w:cs="Times New Roman"/>
          <w:i/>
          <w:color w:val="000000" w:themeColor="text1"/>
          <w:sz w:val="24"/>
          <w:szCs w:val="24"/>
        </w:rPr>
        <w:t>et al.</w:t>
      </w:r>
      <w:r w:rsidRPr="00274ECC">
        <w:rPr>
          <w:rFonts w:ascii="Times New Roman" w:hAnsi="Times New Roman" w:cs="Times New Roman"/>
          <w:color w:val="000000" w:themeColor="text1"/>
          <w:sz w:val="24"/>
          <w:szCs w:val="24"/>
        </w:rPr>
        <w:t xml:space="preserve"> (2010). Especificamente, para o BPC, computou-se como renda deste programa a renda dos indivíduos com valor igual ao salário mínimo na variável V1273 (“capital e outras rendas”) na PNAD. Para o BF, da renda domiciliar obtida a partir da referida variável da PNAD, depois de descontada a renda do BPC, assumiu-se como renda do BF os valores até o limite da transferência máxima do Programa Bolsa Família (R$ 306,00 em 2011 e R$ 0,00 em 1995)</w:t>
      </w:r>
      <w:r w:rsidRPr="00274ECC">
        <w:rPr>
          <w:rStyle w:val="FootnoteReference"/>
          <w:rFonts w:ascii="Times New Roman" w:hAnsi="Times New Roman" w:cs="Times New Roman"/>
          <w:color w:val="000000" w:themeColor="text1"/>
          <w:sz w:val="24"/>
          <w:szCs w:val="24"/>
        </w:rPr>
        <w:footnoteReference w:id="2"/>
      </w:r>
      <w:r w:rsidRPr="00274ECC">
        <w:rPr>
          <w:rFonts w:ascii="Times New Roman" w:hAnsi="Times New Roman" w:cs="Times New Roman"/>
          <w:color w:val="000000" w:themeColor="text1"/>
          <w:sz w:val="24"/>
          <w:szCs w:val="24"/>
        </w:rPr>
        <w:t>. As demais três fontes de renda não associadas ao trabalho são obtidas imediatamente nos microdados da PNAD.</w:t>
      </w:r>
    </w:p>
    <w:p w14:paraId="3AFEBC0E"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Na tabela 1, a seguir, são apresentadas algumas informações obtidas a partir da agregação das variáveis individuais de renda por estado. Os números refletem a distribuição de cada fonte de renda entre as macrorregiões (a partir das linhas na horizontal) e o peso de cada fonte de renda na renda total, na última coluna à direita. Entre as muitas evidências de interesse, é importante destacar diferenças com respeito às duas macrorregiões mais populosas do país, situadas entre os extremos em termos de renda (Nordeste e Sudeste do país). </w:t>
      </w:r>
    </w:p>
    <w:p w14:paraId="59813C14"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Neste sentido, percebe-se que, para região Nordeste, as únicas fontes de renda em que a região detém participações próximas ou acima daquela observada quando se considera a população (27,8%), é aquela do grupo de escolaridade associado ao trabalho </w:t>
      </w:r>
      <w:r w:rsidRPr="00274ECC">
        <w:rPr>
          <w:rFonts w:ascii="Times New Roman" w:hAnsi="Times New Roman" w:cs="Times New Roman"/>
          <w:color w:val="000000" w:themeColor="text1"/>
          <w:sz w:val="24"/>
          <w:szCs w:val="24"/>
        </w:rPr>
        <w:lastRenderedPageBreak/>
        <w:t>dos menos escolarizados (Escol1, com 27,4%) e as fontes de renda dos programas sociais (respectivamente, 51,6% e 35,5%, respectivamente, para o BF e para o BPC). Por outro lado, para a região Sudeste, a maior participação da região na renda total quando comparada à sua participação na população ocorre nas fontes de renda do trabalho mais escolarizado, com destaque para a fonte de renda do trabalho associado ao ensino superior (54,5% do total), para a renda do capital e, por fim, a renda de alugueis e previdência e aposentadoria.</w:t>
      </w:r>
    </w:p>
    <w:p w14:paraId="4DEAA0AF"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3D23361C" w14:textId="77777777" w:rsidR="00743989" w:rsidRPr="00274ECC" w:rsidRDefault="00743989" w:rsidP="003C3441">
      <w:pPr>
        <w:spacing w:after="0" w:line="360" w:lineRule="auto"/>
        <w:ind w:firstLine="709"/>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 xml:space="preserve">Tabela 1 - </w:t>
      </w:r>
      <w:r w:rsidRPr="00274ECC">
        <w:rPr>
          <w:rFonts w:ascii="Times New Roman" w:hAnsi="Times New Roman" w:cs="Times New Roman"/>
          <w:color w:val="000000" w:themeColor="text1"/>
          <w:sz w:val="24"/>
          <w:szCs w:val="24"/>
        </w:rPr>
        <w:t xml:space="preserve"> </w:t>
      </w:r>
      <w:r w:rsidRPr="00274ECC">
        <w:rPr>
          <w:rFonts w:ascii="Times New Roman" w:eastAsia="Times New Roman" w:hAnsi="Times New Roman" w:cs="Times New Roman"/>
          <w:b/>
          <w:bCs/>
          <w:color w:val="000000" w:themeColor="text1"/>
          <w:sz w:val="24"/>
          <w:szCs w:val="24"/>
          <w:lang w:eastAsia="pt-BR"/>
        </w:rPr>
        <w:t>Participações regionais segundo cada fonte de renda (%) - 2011</w:t>
      </w:r>
    </w:p>
    <w:tbl>
      <w:tblPr>
        <w:tblW w:w="8717" w:type="dxa"/>
        <w:tblCellMar>
          <w:left w:w="70" w:type="dxa"/>
          <w:right w:w="70" w:type="dxa"/>
        </w:tblCellMar>
        <w:tblLook w:val="04A0" w:firstRow="1" w:lastRow="0" w:firstColumn="1" w:lastColumn="0" w:noHBand="0" w:noVBand="1"/>
      </w:tblPr>
      <w:tblGrid>
        <w:gridCol w:w="2140"/>
        <w:gridCol w:w="727"/>
        <w:gridCol w:w="1563"/>
        <w:gridCol w:w="992"/>
        <w:gridCol w:w="1040"/>
        <w:gridCol w:w="860"/>
        <w:gridCol w:w="1395"/>
      </w:tblGrid>
      <w:tr w:rsidR="00743989" w:rsidRPr="003C3441" w14:paraId="349F3786" w14:textId="77777777" w:rsidTr="00ED6611">
        <w:trPr>
          <w:trHeight w:val="255"/>
        </w:trPr>
        <w:tc>
          <w:tcPr>
            <w:tcW w:w="2140" w:type="dxa"/>
            <w:tcBorders>
              <w:top w:val="single" w:sz="4" w:space="0" w:color="auto"/>
              <w:left w:val="nil"/>
              <w:bottom w:val="nil"/>
              <w:right w:val="nil"/>
            </w:tcBorders>
            <w:shd w:val="clear" w:color="auto" w:fill="auto"/>
            <w:noWrap/>
            <w:hideMark/>
          </w:tcPr>
          <w:p w14:paraId="0ADFB68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5182" w:type="dxa"/>
            <w:gridSpan w:val="5"/>
            <w:tcBorders>
              <w:top w:val="single" w:sz="4" w:space="0" w:color="auto"/>
              <w:left w:val="single" w:sz="4" w:space="0" w:color="auto"/>
              <w:bottom w:val="nil"/>
              <w:right w:val="nil"/>
            </w:tcBorders>
            <w:shd w:val="clear" w:color="auto" w:fill="auto"/>
            <w:noWrap/>
            <w:hideMark/>
          </w:tcPr>
          <w:p w14:paraId="436A112A"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Regiões</w:t>
            </w:r>
          </w:p>
        </w:tc>
        <w:tc>
          <w:tcPr>
            <w:tcW w:w="1395" w:type="dxa"/>
            <w:vMerge w:val="restart"/>
            <w:tcBorders>
              <w:top w:val="single" w:sz="4" w:space="0" w:color="auto"/>
              <w:left w:val="single" w:sz="4" w:space="0" w:color="auto"/>
              <w:bottom w:val="single" w:sz="4" w:space="0" w:color="000000"/>
              <w:right w:val="nil"/>
            </w:tcBorders>
            <w:shd w:val="clear" w:color="auto" w:fill="auto"/>
            <w:noWrap/>
            <w:hideMark/>
          </w:tcPr>
          <w:p w14:paraId="572153F8"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 da renda total</w:t>
            </w:r>
          </w:p>
        </w:tc>
      </w:tr>
      <w:tr w:rsidR="00743989" w:rsidRPr="003C3441" w14:paraId="30B88AF9" w14:textId="77777777" w:rsidTr="00ED6611">
        <w:trPr>
          <w:trHeight w:val="255"/>
        </w:trPr>
        <w:tc>
          <w:tcPr>
            <w:tcW w:w="2140" w:type="dxa"/>
            <w:tcBorders>
              <w:top w:val="nil"/>
              <w:left w:val="nil"/>
              <w:bottom w:val="single" w:sz="4" w:space="0" w:color="auto"/>
              <w:right w:val="nil"/>
            </w:tcBorders>
            <w:shd w:val="clear" w:color="auto" w:fill="auto"/>
            <w:noWrap/>
            <w:hideMark/>
          </w:tcPr>
          <w:p w14:paraId="5B21CEC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727" w:type="dxa"/>
            <w:tcBorders>
              <w:top w:val="single" w:sz="4" w:space="0" w:color="auto"/>
              <w:left w:val="single" w:sz="4" w:space="0" w:color="auto"/>
              <w:bottom w:val="single" w:sz="4" w:space="0" w:color="auto"/>
              <w:right w:val="nil"/>
            </w:tcBorders>
            <w:shd w:val="clear" w:color="auto" w:fill="auto"/>
            <w:noWrap/>
            <w:vAlign w:val="center"/>
            <w:hideMark/>
          </w:tcPr>
          <w:p w14:paraId="3B063329"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Norte</w:t>
            </w:r>
          </w:p>
        </w:tc>
        <w:tc>
          <w:tcPr>
            <w:tcW w:w="1563" w:type="dxa"/>
            <w:tcBorders>
              <w:top w:val="single" w:sz="4" w:space="0" w:color="auto"/>
              <w:left w:val="nil"/>
              <w:bottom w:val="single" w:sz="4" w:space="0" w:color="auto"/>
              <w:right w:val="nil"/>
            </w:tcBorders>
            <w:shd w:val="clear" w:color="auto" w:fill="auto"/>
            <w:noWrap/>
            <w:vAlign w:val="center"/>
            <w:hideMark/>
          </w:tcPr>
          <w:p w14:paraId="77E56C54"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Nordeste</w:t>
            </w:r>
          </w:p>
        </w:tc>
        <w:tc>
          <w:tcPr>
            <w:tcW w:w="992" w:type="dxa"/>
            <w:tcBorders>
              <w:top w:val="single" w:sz="4" w:space="0" w:color="auto"/>
              <w:left w:val="nil"/>
              <w:bottom w:val="single" w:sz="4" w:space="0" w:color="auto"/>
              <w:right w:val="nil"/>
            </w:tcBorders>
            <w:shd w:val="clear" w:color="auto" w:fill="auto"/>
            <w:noWrap/>
            <w:vAlign w:val="center"/>
            <w:hideMark/>
          </w:tcPr>
          <w:p w14:paraId="3779DAD0"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Sudeste</w:t>
            </w:r>
          </w:p>
        </w:tc>
        <w:tc>
          <w:tcPr>
            <w:tcW w:w="1040" w:type="dxa"/>
            <w:tcBorders>
              <w:top w:val="single" w:sz="4" w:space="0" w:color="auto"/>
              <w:left w:val="nil"/>
              <w:bottom w:val="single" w:sz="4" w:space="0" w:color="auto"/>
              <w:right w:val="nil"/>
            </w:tcBorders>
            <w:shd w:val="clear" w:color="auto" w:fill="auto"/>
            <w:noWrap/>
            <w:vAlign w:val="center"/>
            <w:hideMark/>
          </w:tcPr>
          <w:p w14:paraId="58CC209F"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Sul</w:t>
            </w:r>
          </w:p>
        </w:tc>
        <w:tc>
          <w:tcPr>
            <w:tcW w:w="860" w:type="dxa"/>
            <w:tcBorders>
              <w:top w:val="single" w:sz="4" w:space="0" w:color="auto"/>
              <w:left w:val="nil"/>
              <w:bottom w:val="single" w:sz="4" w:space="0" w:color="auto"/>
              <w:right w:val="nil"/>
            </w:tcBorders>
            <w:shd w:val="clear" w:color="auto" w:fill="auto"/>
            <w:noWrap/>
            <w:vAlign w:val="center"/>
            <w:hideMark/>
          </w:tcPr>
          <w:p w14:paraId="2A0C6368"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Centro Oeste</w:t>
            </w:r>
          </w:p>
        </w:tc>
        <w:tc>
          <w:tcPr>
            <w:tcW w:w="1395" w:type="dxa"/>
            <w:vMerge/>
            <w:tcBorders>
              <w:top w:val="single" w:sz="4" w:space="0" w:color="auto"/>
              <w:left w:val="single" w:sz="4" w:space="0" w:color="auto"/>
              <w:bottom w:val="single" w:sz="4" w:space="0" w:color="000000"/>
              <w:right w:val="nil"/>
            </w:tcBorders>
            <w:hideMark/>
          </w:tcPr>
          <w:p w14:paraId="384E58FC" w14:textId="77777777" w:rsidR="00743989" w:rsidRPr="003C3441" w:rsidRDefault="00743989" w:rsidP="003C3441">
            <w:pPr>
              <w:spacing w:after="0" w:line="240" w:lineRule="auto"/>
              <w:jc w:val="center"/>
              <w:rPr>
                <w:rFonts w:ascii="Arial" w:eastAsia="Times New Roman" w:hAnsi="Arial" w:cs="Arial"/>
                <w:b/>
                <w:bCs/>
                <w:color w:val="000000" w:themeColor="text1"/>
                <w:sz w:val="18"/>
                <w:szCs w:val="18"/>
                <w:lang w:eastAsia="pt-BR"/>
              </w:rPr>
            </w:pPr>
          </w:p>
        </w:tc>
      </w:tr>
      <w:tr w:rsidR="00743989" w:rsidRPr="003C3441" w14:paraId="022679CB" w14:textId="77777777" w:rsidTr="00ED6611">
        <w:trPr>
          <w:trHeight w:val="255"/>
        </w:trPr>
        <w:tc>
          <w:tcPr>
            <w:tcW w:w="2140" w:type="dxa"/>
            <w:tcBorders>
              <w:top w:val="nil"/>
              <w:left w:val="nil"/>
              <w:bottom w:val="nil"/>
              <w:right w:val="nil"/>
            </w:tcBorders>
            <w:shd w:val="clear" w:color="auto" w:fill="auto"/>
            <w:noWrap/>
            <w:hideMark/>
          </w:tcPr>
          <w:p w14:paraId="32B83A9D" w14:textId="77777777" w:rsidR="00743989" w:rsidRPr="003C3441" w:rsidRDefault="00743989" w:rsidP="003C3441">
            <w:pPr>
              <w:spacing w:after="0" w:line="240" w:lineRule="auto"/>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População</w:t>
            </w:r>
          </w:p>
        </w:tc>
        <w:tc>
          <w:tcPr>
            <w:tcW w:w="727" w:type="dxa"/>
            <w:tcBorders>
              <w:top w:val="nil"/>
              <w:left w:val="single" w:sz="4" w:space="0" w:color="auto"/>
              <w:bottom w:val="nil"/>
              <w:right w:val="nil"/>
            </w:tcBorders>
            <w:shd w:val="clear" w:color="auto" w:fill="auto"/>
            <w:noWrap/>
            <w:hideMark/>
          </w:tcPr>
          <w:p w14:paraId="60AD6FC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8,5</w:t>
            </w:r>
          </w:p>
        </w:tc>
        <w:tc>
          <w:tcPr>
            <w:tcW w:w="1563" w:type="dxa"/>
            <w:tcBorders>
              <w:top w:val="nil"/>
              <w:left w:val="nil"/>
              <w:bottom w:val="nil"/>
              <w:right w:val="nil"/>
            </w:tcBorders>
            <w:shd w:val="clear" w:color="auto" w:fill="auto"/>
            <w:noWrap/>
            <w:hideMark/>
          </w:tcPr>
          <w:p w14:paraId="78A6F25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27,8</w:t>
            </w:r>
          </w:p>
        </w:tc>
        <w:tc>
          <w:tcPr>
            <w:tcW w:w="992" w:type="dxa"/>
            <w:tcBorders>
              <w:top w:val="nil"/>
              <w:left w:val="nil"/>
              <w:bottom w:val="nil"/>
              <w:right w:val="nil"/>
            </w:tcBorders>
            <w:shd w:val="clear" w:color="auto" w:fill="auto"/>
            <w:noWrap/>
            <w:hideMark/>
          </w:tcPr>
          <w:p w14:paraId="37AC293C"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42,0</w:t>
            </w:r>
          </w:p>
        </w:tc>
        <w:tc>
          <w:tcPr>
            <w:tcW w:w="1040" w:type="dxa"/>
            <w:tcBorders>
              <w:top w:val="nil"/>
              <w:left w:val="nil"/>
              <w:bottom w:val="nil"/>
              <w:right w:val="nil"/>
            </w:tcBorders>
            <w:shd w:val="clear" w:color="auto" w:fill="auto"/>
            <w:noWrap/>
            <w:hideMark/>
          </w:tcPr>
          <w:p w14:paraId="62B6A1A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14,3</w:t>
            </w:r>
          </w:p>
        </w:tc>
        <w:tc>
          <w:tcPr>
            <w:tcW w:w="860" w:type="dxa"/>
            <w:tcBorders>
              <w:top w:val="nil"/>
              <w:left w:val="nil"/>
              <w:bottom w:val="nil"/>
              <w:right w:val="nil"/>
            </w:tcBorders>
            <w:shd w:val="clear" w:color="auto" w:fill="auto"/>
            <w:noWrap/>
            <w:hideMark/>
          </w:tcPr>
          <w:p w14:paraId="1364B972"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7,5</w:t>
            </w:r>
          </w:p>
        </w:tc>
        <w:tc>
          <w:tcPr>
            <w:tcW w:w="1395" w:type="dxa"/>
            <w:tcBorders>
              <w:top w:val="nil"/>
              <w:left w:val="single" w:sz="4" w:space="0" w:color="auto"/>
              <w:bottom w:val="nil"/>
              <w:right w:val="nil"/>
            </w:tcBorders>
            <w:shd w:val="clear" w:color="auto" w:fill="auto"/>
            <w:noWrap/>
            <w:hideMark/>
          </w:tcPr>
          <w:p w14:paraId="1A2B1738"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100,0</w:t>
            </w:r>
          </w:p>
        </w:tc>
      </w:tr>
      <w:tr w:rsidR="00743989" w:rsidRPr="003C3441" w14:paraId="3E80C1D7" w14:textId="77777777" w:rsidTr="00ED6611">
        <w:trPr>
          <w:trHeight w:val="255"/>
        </w:trPr>
        <w:tc>
          <w:tcPr>
            <w:tcW w:w="2140" w:type="dxa"/>
            <w:tcBorders>
              <w:top w:val="nil"/>
              <w:left w:val="nil"/>
              <w:bottom w:val="nil"/>
              <w:right w:val="nil"/>
            </w:tcBorders>
            <w:shd w:val="clear" w:color="auto" w:fill="auto"/>
            <w:noWrap/>
            <w:hideMark/>
          </w:tcPr>
          <w:p w14:paraId="191B07F0" w14:textId="77777777" w:rsidR="00743989" w:rsidRPr="003C3441" w:rsidRDefault="00743989" w:rsidP="003C3441">
            <w:pPr>
              <w:spacing w:after="0" w:line="240" w:lineRule="auto"/>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Renda do trabalho</w:t>
            </w:r>
          </w:p>
        </w:tc>
        <w:tc>
          <w:tcPr>
            <w:tcW w:w="727" w:type="dxa"/>
            <w:tcBorders>
              <w:top w:val="nil"/>
              <w:left w:val="single" w:sz="4" w:space="0" w:color="auto"/>
              <w:bottom w:val="nil"/>
              <w:right w:val="nil"/>
            </w:tcBorders>
            <w:shd w:val="clear" w:color="auto" w:fill="auto"/>
            <w:noWrap/>
            <w:hideMark/>
          </w:tcPr>
          <w:p w14:paraId="3D0C359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563" w:type="dxa"/>
            <w:tcBorders>
              <w:top w:val="nil"/>
              <w:left w:val="nil"/>
              <w:bottom w:val="nil"/>
              <w:right w:val="nil"/>
            </w:tcBorders>
            <w:shd w:val="clear" w:color="auto" w:fill="auto"/>
            <w:noWrap/>
            <w:hideMark/>
          </w:tcPr>
          <w:p w14:paraId="1870C391"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92" w:type="dxa"/>
            <w:tcBorders>
              <w:top w:val="nil"/>
              <w:left w:val="nil"/>
              <w:bottom w:val="nil"/>
              <w:right w:val="nil"/>
            </w:tcBorders>
            <w:shd w:val="clear" w:color="auto" w:fill="auto"/>
            <w:noWrap/>
            <w:hideMark/>
          </w:tcPr>
          <w:p w14:paraId="390B3FC2"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040" w:type="dxa"/>
            <w:tcBorders>
              <w:top w:val="nil"/>
              <w:left w:val="nil"/>
              <w:bottom w:val="nil"/>
              <w:right w:val="nil"/>
            </w:tcBorders>
            <w:shd w:val="clear" w:color="auto" w:fill="auto"/>
            <w:noWrap/>
            <w:hideMark/>
          </w:tcPr>
          <w:p w14:paraId="7F99C42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860" w:type="dxa"/>
            <w:tcBorders>
              <w:top w:val="nil"/>
              <w:left w:val="nil"/>
              <w:bottom w:val="nil"/>
              <w:right w:val="nil"/>
            </w:tcBorders>
            <w:shd w:val="clear" w:color="auto" w:fill="auto"/>
            <w:noWrap/>
            <w:hideMark/>
          </w:tcPr>
          <w:p w14:paraId="4906DB5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395" w:type="dxa"/>
            <w:tcBorders>
              <w:top w:val="nil"/>
              <w:left w:val="single" w:sz="4" w:space="0" w:color="auto"/>
              <w:bottom w:val="nil"/>
              <w:right w:val="nil"/>
            </w:tcBorders>
            <w:shd w:val="clear" w:color="auto" w:fill="auto"/>
            <w:noWrap/>
            <w:hideMark/>
          </w:tcPr>
          <w:p w14:paraId="271A7ED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r>
      <w:tr w:rsidR="00743989" w:rsidRPr="003C3441" w14:paraId="559AB9DD" w14:textId="77777777" w:rsidTr="00ED6611">
        <w:trPr>
          <w:trHeight w:val="255"/>
        </w:trPr>
        <w:tc>
          <w:tcPr>
            <w:tcW w:w="2140" w:type="dxa"/>
            <w:tcBorders>
              <w:top w:val="nil"/>
              <w:left w:val="nil"/>
              <w:bottom w:val="nil"/>
              <w:right w:val="nil"/>
            </w:tcBorders>
            <w:shd w:val="clear" w:color="auto" w:fill="auto"/>
            <w:noWrap/>
            <w:hideMark/>
          </w:tcPr>
          <w:p w14:paraId="6C9936BC"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Escol1</w:t>
            </w:r>
          </w:p>
        </w:tc>
        <w:tc>
          <w:tcPr>
            <w:tcW w:w="727" w:type="dxa"/>
            <w:tcBorders>
              <w:top w:val="nil"/>
              <w:left w:val="single" w:sz="4" w:space="0" w:color="auto"/>
              <w:bottom w:val="nil"/>
              <w:right w:val="nil"/>
            </w:tcBorders>
            <w:shd w:val="clear" w:color="auto" w:fill="auto"/>
            <w:noWrap/>
            <w:hideMark/>
          </w:tcPr>
          <w:p w14:paraId="4CD5BE2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11,6</w:t>
            </w:r>
          </w:p>
        </w:tc>
        <w:tc>
          <w:tcPr>
            <w:tcW w:w="1563" w:type="dxa"/>
            <w:tcBorders>
              <w:top w:val="nil"/>
              <w:left w:val="nil"/>
              <w:bottom w:val="nil"/>
              <w:right w:val="nil"/>
            </w:tcBorders>
            <w:shd w:val="clear" w:color="auto" w:fill="auto"/>
            <w:noWrap/>
            <w:hideMark/>
          </w:tcPr>
          <w:p w14:paraId="3EEC17A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27,4</w:t>
            </w:r>
          </w:p>
        </w:tc>
        <w:tc>
          <w:tcPr>
            <w:tcW w:w="992" w:type="dxa"/>
            <w:tcBorders>
              <w:top w:val="nil"/>
              <w:left w:val="nil"/>
              <w:bottom w:val="nil"/>
              <w:right w:val="nil"/>
            </w:tcBorders>
            <w:shd w:val="clear" w:color="auto" w:fill="auto"/>
            <w:noWrap/>
            <w:hideMark/>
          </w:tcPr>
          <w:p w14:paraId="02548B2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36,7</w:t>
            </w:r>
          </w:p>
        </w:tc>
        <w:tc>
          <w:tcPr>
            <w:tcW w:w="1040" w:type="dxa"/>
            <w:tcBorders>
              <w:top w:val="nil"/>
              <w:left w:val="nil"/>
              <w:bottom w:val="nil"/>
              <w:right w:val="nil"/>
            </w:tcBorders>
            <w:shd w:val="clear" w:color="auto" w:fill="auto"/>
            <w:noWrap/>
            <w:hideMark/>
          </w:tcPr>
          <w:p w14:paraId="006B526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14,0</w:t>
            </w:r>
          </w:p>
        </w:tc>
        <w:tc>
          <w:tcPr>
            <w:tcW w:w="860" w:type="dxa"/>
            <w:tcBorders>
              <w:top w:val="nil"/>
              <w:left w:val="nil"/>
              <w:bottom w:val="nil"/>
              <w:right w:val="nil"/>
            </w:tcBorders>
            <w:shd w:val="clear" w:color="auto" w:fill="auto"/>
            <w:noWrap/>
            <w:hideMark/>
          </w:tcPr>
          <w:p w14:paraId="3045F1B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10,2</w:t>
            </w:r>
          </w:p>
        </w:tc>
        <w:tc>
          <w:tcPr>
            <w:tcW w:w="1395" w:type="dxa"/>
            <w:tcBorders>
              <w:top w:val="nil"/>
              <w:left w:val="single" w:sz="4" w:space="0" w:color="auto"/>
              <w:bottom w:val="nil"/>
              <w:right w:val="nil"/>
            </w:tcBorders>
            <w:shd w:val="clear" w:color="auto" w:fill="auto"/>
            <w:noWrap/>
            <w:hideMark/>
          </w:tcPr>
          <w:p w14:paraId="065713A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5,6</w:t>
            </w:r>
          </w:p>
        </w:tc>
      </w:tr>
      <w:tr w:rsidR="00743989" w:rsidRPr="003C3441" w14:paraId="2D90BE56" w14:textId="77777777" w:rsidTr="00ED6611">
        <w:trPr>
          <w:trHeight w:val="255"/>
        </w:trPr>
        <w:tc>
          <w:tcPr>
            <w:tcW w:w="2140" w:type="dxa"/>
            <w:tcBorders>
              <w:top w:val="nil"/>
              <w:left w:val="nil"/>
              <w:bottom w:val="nil"/>
              <w:right w:val="nil"/>
            </w:tcBorders>
            <w:shd w:val="clear" w:color="auto" w:fill="auto"/>
            <w:noWrap/>
            <w:hideMark/>
          </w:tcPr>
          <w:p w14:paraId="2BD92598"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Escol2</w:t>
            </w:r>
          </w:p>
        </w:tc>
        <w:tc>
          <w:tcPr>
            <w:tcW w:w="727" w:type="dxa"/>
            <w:tcBorders>
              <w:top w:val="nil"/>
              <w:left w:val="single" w:sz="4" w:space="0" w:color="auto"/>
              <w:bottom w:val="nil"/>
              <w:right w:val="nil"/>
            </w:tcBorders>
            <w:shd w:val="clear" w:color="auto" w:fill="auto"/>
            <w:noWrap/>
            <w:hideMark/>
          </w:tcPr>
          <w:p w14:paraId="4484135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6,6</w:t>
            </w:r>
          </w:p>
        </w:tc>
        <w:tc>
          <w:tcPr>
            <w:tcW w:w="1563" w:type="dxa"/>
            <w:tcBorders>
              <w:top w:val="nil"/>
              <w:left w:val="nil"/>
              <w:bottom w:val="nil"/>
              <w:right w:val="nil"/>
            </w:tcBorders>
            <w:shd w:val="clear" w:color="auto" w:fill="auto"/>
            <w:noWrap/>
            <w:hideMark/>
          </w:tcPr>
          <w:p w14:paraId="19E678E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15,9</w:t>
            </w:r>
          </w:p>
        </w:tc>
        <w:tc>
          <w:tcPr>
            <w:tcW w:w="992" w:type="dxa"/>
            <w:tcBorders>
              <w:top w:val="nil"/>
              <w:left w:val="nil"/>
              <w:bottom w:val="nil"/>
              <w:right w:val="nil"/>
            </w:tcBorders>
            <w:shd w:val="clear" w:color="auto" w:fill="auto"/>
            <w:noWrap/>
            <w:hideMark/>
          </w:tcPr>
          <w:p w14:paraId="39B9D5CB"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46,5</w:t>
            </w:r>
          </w:p>
        </w:tc>
        <w:tc>
          <w:tcPr>
            <w:tcW w:w="1040" w:type="dxa"/>
            <w:tcBorders>
              <w:top w:val="nil"/>
              <w:left w:val="nil"/>
              <w:bottom w:val="nil"/>
              <w:right w:val="nil"/>
            </w:tcBorders>
            <w:shd w:val="clear" w:color="auto" w:fill="auto"/>
            <w:noWrap/>
            <w:hideMark/>
          </w:tcPr>
          <w:p w14:paraId="294BA158"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21,5</w:t>
            </w:r>
          </w:p>
        </w:tc>
        <w:tc>
          <w:tcPr>
            <w:tcW w:w="860" w:type="dxa"/>
            <w:tcBorders>
              <w:top w:val="nil"/>
              <w:left w:val="nil"/>
              <w:bottom w:val="nil"/>
              <w:right w:val="nil"/>
            </w:tcBorders>
            <w:shd w:val="clear" w:color="auto" w:fill="auto"/>
            <w:noWrap/>
            <w:hideMark/>
          </w:tcPr>
          <w:p w14:paraId="5579633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9,4</w:t>
            </w:r>
          </w:p>
        </w:tc>
        <w:tc>
          <w:tcPr>
            <w:tcW w:w="1395" w:type="dxa"/>
            <w:tcBorders>
              <w:top w:val="nil"/>
              <w:left w:val="single" w:sz="4" w:space="0" w:color="auto"/>
              <w:bottom w:val="nil"/>
              <w:right w:val="nil"/>
            </w:tcBorders>
            <w:shd w:val="clear" w:color="auto" w:fill="auto"/>
            <w:noWrap/>
            <w:hideMark/>
          </w:tcPr>
          <w:p w14:paraId="2CE0224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9,6</w:t>
            </w:r>
          </w:p>
        </w:tc>
      </w:tr>
      <w:tr w:rsidR="00743989" w:rsidRPr="003C3441" w14:paraId="0E13ECE6" w14:textId="77777777" w:rsidTr="00ED6611">
        <w:trPr>
          <w:trHeight w:val="255"/>
        </w:trPr>
        <w:tc>
          <w:tcPr>
            <w:tcW w:w="2140" w:type="dxa"/>
            <w:tcBorders>
              <w:top w:val="nil"/>
              <w:left w:val="nil"/>
              <w:bottom w:val="nil"/>
              <w:right w:val="nil"/>
            </w:tcBorders>
            <w:shd w:val="clear" w:color="auto" w:fill="auto"/>
            <w:noWrap/>
            <w:hideMark/>
          </w:tcPr>
          <w:p w14:paraId="24E2C555"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Escol3</w:t>
            </w:r>
          </w:p>
        </w:tc>
        <w:tc>
          <w:tcPr>
            <w:tcW w:w="727" w:type="dxa"/>
            <w:tcBorders>
              <w:top w:val="nil"/>
              <w:left w:val="single" w:sz="4" w:space="0" w:color="auto"/>
              <w:bottom w:val="nil"/>
              <w:right w:val="nil"/>
            </w:tcBorders>
            <w:shd w:val="clear" w:color="auto" w:fill="auto"/>
            <w:noWrap/>
            <w:hideMark/>
          </w:tcPr>
          <w:p w14:paraId="2AB90A6C"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6,5</w:t>
            </w:r>
          </w:p>
        </w:tc>
        <w:tc>
          <w:tcPr>
            <w:tcW w:w="1563" w:type="dxa"/>
            <w:tcBorders>
              <w:top w:val="nil"/>
              <w:left w:val="nil"/>
              <w:bottom w:val="nil"/>
              <w:right w:val="nil"/>
            </w:tcBorders>
            <w:shd w:val="clear" w:color="auto" w:fill="auto"/>
            <w:noWrap/>
            <w:hideMark/>
          </w:tcPr>
          <w:p w14:paraId="17D1A21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15,1</w:t>
            </w:r>
          </w:p>
        </w:tc>
        <w:tc>
          <w:tcPr>
            <w:tcW w:w="992" w:type="dxa"/>
            <w:tcBorders>
              <w:top w:val="nil"/>
              <w:left w:val="nil"/>
              <w:bottom w:val="nil"/>
              <w:right w:val="nil"/>
            </w:tcBorders>
            <w:shd w:val="clear" w:color="auto" w:fill="auto"/>
            <w:noWrap/>
            <w:hideMark/>
          </w:tcPr>
          <w:p w14:paraId="6043D91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48,2</w:t>
            </w:r>
          </w:p>
        </w:tc>
        <w:tc>
          <w:tcPr>
            <w:tcW w:w="1040" w:type="dxa"/>
            <w:tcBorders>
              <w:top w:val="nil"/>
              <w:left w:val="nil"/>
              <w:bottom w:val="nil"/>
              <w:right w:val="nil"/>
            </w:tcBorders>
            <w:shd w:val="clear" w:color="auto" w:fill="auto"/>
            <w:noWrap/>
            <w:hideMark/>
          </w:tcPr>
          <w:p w14:paraId="25EC42EA"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20,2</w:t>
            </w:r>
          </w:p>
        </w:tc>
        <w:tc>
          <w:tcPr>
            <w:tcW w:w="860" w:type="dxa"/>
            <w:tcBorders>
              <w:top w:val="nil"/>
              <w:left w:val="nil"/>
              <w:bottom w:val="nil"/>
              <w:right w:val="nil"/>
            </w:tcBorders>
            <w:shd w:val="clear" w:color="auto" w:fill="auto"/>
            <w:noWrap/>
            <w:hideMark/>
          </w:tcPr>
          <w:p w14:paraId="73CFD2A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10,0</w:t>
            </w:r>
          </w:p>
        </w:tc>
        <w:tc>
          <w:tcPr>
            <w:tcW w:w="1395" w:type="dxa"/>
            <w:tcBorders>
              <w:top w:val="nil"/>
              <w:left w:val="single" w:sz="4" w:space="0" w:color="auto"/>
              <w:bottom w:val="nil"/>
              <w:right w:val="nil"/>
            </w:tcBorders>
            <w:shd w:val="clear" w:color="auto" w:fill="auto"/>
            <w:noWrap/>
            <w:hideMark/>
          </w:tcPr>
          <w:p w14:paraId="06D0A9EF"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9,6</w:t>
            </w:r>
          </w:p>
        </w:tc>
      </w:tr>
      <w:tr w:rsidR="00743989" w:rsidRPr="003C3441" w14:paraId="15998C26" w14:textId="77777777" w:rsidTr="00ED6611">
        <w:trPr>
          <w:trHeight w:val="255"/>
        </w:trPr>
        <w:tc>
          <w:tcPr>
            <w:tcW w:w="2140" w:type="dxa"/>
            <w:tcBorders>
              <w:top w:val="nil"/>
              <w:left w:val="nil"/>
              <w:bottom w:val="nil"/>
              <w:right w:val="nil"/>
            </w:tcBorders>
            <w:shd w:val="clear" w:color="auto" w:fill="auto"/>
            <w:noWrap/>
            <w:hideMark/>
          </w:tcPr>
          <w:p w14:paraId="2D73FA70"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Escol4</w:t>
            </w:r>
          </w:p>
        </w:tc>
        <w:tc>
          <w:tcPr>
            <w:tcW w:w="727" w:type="dxa"/>
            <w:tcBorders>
              <w:top w:val="nil"/>
              <w:left w:val="single" w:sz="4" w:space="0" w:color="auto"/>
              <w:bottom w:val="nil"/>
              <w:right w:val="nil"/>
            </w:tcBorders>
            <w:shd w:val="clear" w:color="auto" w:fill="auto"/>
            <w:noWrap/>
            <w:hideMark/>
          </w:tcPr>
          <w:p w14:paraId="555B6E1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6,2</w:t>
            </w:r>
          </w:p>
        </w:tc>
        <w:tc>
          <w:tcPr>
            <w:tcW w:w="1563" w:type="dxa"/>
            <w:tcBorders>
              <w:top w:val="nil"/>
              <w:left w:val="nil"/>
              <w:bottom w:val="nil"/>
              <w:right w:val="nil"/>
            </w:tcBorders>
            <w:shd w:val="clear" w:color="auto" w:fill="auto"/>
            <w:noWrap/>
            <w:hideMark/>
          </w:tcPr>
          <w:p w14:paraId="2F9AFBD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15,9</w:t>
            </w:r>
          </w:p>
        </w:tc>
        <w:tc>
          <w:tcPr>
            <w:tcW w:w="992" w:type="dxa"/>
            <w:tcBorders>
              <w:top w:val="nil"/>
              <w:left w:val="nil"/>
              <w:bottom w:val="nil"/>
              <w:right w:val="nil"/>
            </w:tcBorders>
            <w:shd w:val="clear" w:color="auto" w:fill="auto"/>
            <w:noWrap/>
            <w:hideMark/>
          </w:tcPr>
          <w:p w14:paraId="67BC234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51,1</w:t>
            </w:r>
          </w:p>
        </w:tc>
        <w:tc>
          <w:tcPr>
            <w:tcW w:w="1040" w:type="dxa"/>
            <w:tcBorders>
              <w:top w:val="nil"/>
              <w:left w:val="nil"/>
              <w:bottom w:val="nil"/>
              <w:right w:val="nil"/>
            </w:tcBorders>
            <w:shd w:val="clear" w:color="auto" w:fill="auto"/>
            <w:noWrap/>
            <w:hideMark/>
          </w:tcPr>
          <w:p w14:paraId="37A208C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17,7</w:t>
            </w:r>
          </w:p>
        </w:tc>
        <w:tc>
          <w:tcPr>
            <w:tcW w:w="860" w:type="dxa"/>
            <w:tcBorders>
              <w:top w:val="nil"/>
              <w:left w:val="nil"/>
              <w:bottom w:val="nil"/>
              <w:right w:val="nil"/>
            </w:tcBorders>
            <w:shd w:val="clear" w:color="auto" w:fill="auto"/>
            <w:noWrap/>
            <w:hideMark/>
          </w:tcPr>
          <w:p w14:paraId="5E38682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9,1</w:t>
            </w:r>
          </w:p>
        </w:tc>
        <w:tc>
          <w:tcPr>
            <w:tcW w:w="1395" w:type="dxa"/>
            <w:tcBorders>
              <w:top w:val="nil"/>
              <w:left w:val="single" w:sz="4" w:space="0" w:color="auto"/>
              <w:bottom w:val="nil"/>
              <w:right w:val="nil"/>
            </w:tcBorders>
            <w:shd w:val="clear" w:color="auto" w:fill="auto"/>
            <w:noWrap/>
            <w:hideMark/>
          </w:tcPr>
          <w:p w14:paraId="35018008"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27,8</w:t>
            </w:r>
          </w:p>
        </w:tc>
      </w:tr>
      <w:tr w:rsidR="00743989" w:rsidRPr="003C3441" w14:paraId="5EDD4229" w14:textId="77777777" w:rsidTr="00ED6611">
        <w:trPr>
          <w:trHeight w:val="255"/>
        </w:trPr>
        <w:tc>
          <w:tcPr>
            <w:tcW w:w="2140" w:type="dxa"/>
            <w:tcBorders>
              <w:top w:val="nil"/>
              <w:left w:val="nil"/>
              <w:bottom w:val="nil"/>
              <w:right w:val="nil"/>
            </w:tcBorders>
            <w:shd w:val="clear" w:color="auto" w:fill="auto"/>
            <w:noWrap/>
            <w:hideMark/>
          </w:tcPr>
          <w:p w14:paraId="3EA24E18"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Escol5</w:t>
            </w:r>
          </w:p>
        </w:tc>
        <w:tc>
          <w:tcPr>
            <w:tcW w:w="727" w:type="dxa"/>
            <w:tcBorders>
              <w:top w:val="nil"/>
              <w:left w:val="single" w:sz="4" w:space="0" w:color="auto"/>
              <w:bottom w:val="nil"/>
              <w:right w:val="nil"/>
            </w:tcBorders>
            <w:shd w:val="clear" w:color="auto" w:fill="auto"/>
            <w:noWrap/>
            <w:hideMark/>
          </w:tcPr>
          <w:p w14:paraId="739AC2B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4,4</w:t>
            </w:r>
          </w:p>
        </w:tc>
        <w:tc>
          <w:tcPr>
            <w:tcW w:w="1563" w:type="dxa"/>
            <w:tcBorders>
              <w:top w:val="nil"/>
              <w:left w:val="nil"/>
              <w:bottom w:val="nil"/>
              <w:right w:val="nil"/>
            </w:tcBorders>
            <w:shd w:val="clear" w:color="auto" w:fill="auto"/>
            <w:noWrap/>
            <w:hideMark/>
          </w:tcPr>
          <w:p w14:paraId="132CB1B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13,8</w:t>
            </w:r>
          </w:p>
        </w:tc>
        <w:tc>
          <w:tcPr>
            <w:tcW w:w="992" w:type="dxa"/>
            <w:tcBorders>
              <w:top w:val="nil"/>
              <w:left w:val="nil"/>
              <w:bottom w:val="nil"/>
              <w:right w:val="nil"/>
            </w:tcBorders>
            <w:shd w:val="clear" w:color="auto" w:fill="auto"/>
            <w:noWrap/>
            <w:hideMark/>
          </w:tcPr>
          <w:p w14:paraId="34AA54A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54,5</w:t>
            </w:r>
          </w:p>
        </w:tc>
        <w:tc>
          <w:tcPr>
            <w:tcW w:w="1040" w:type="dxa"/>
            <w:tcBorders>
              <w:top w:val="nil"/>
              <w:left w:val="nil"/>
              <w:bottom w:val="nil"/>
              <w:right w:val="nil"/>
            </w:tcBorders>
            <w:shd w:val="clear" w:color="auto" w:fill="auto"/>
            <w:noWrap/>
            <w:hideMark/>
          </w:tcPr>
          <w:p w14:paraId="057F6E9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15,7</w:t>
            </w:r>
          </w:p>
        </w:tc>
        <w:tc>
          <w:tcPr>
            <w:tcW w:w="860" w:type="dxa"/>
            <w:tcBorders>
              <w:top w:val="nil"/>
              <w:left w:val="nil"/>
              <w:bottom w:val="nil"/>
              <w:right w:val="nil"/>
            </w:tcBorders>
            <w:shd w:val="clear" w:color="auto" w:fill="auto"/>
            <w:noWrap/>
            <w:hideMark/>
          </w:tcPr>
          <w:p w14:paraId="04C1F5AB"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11,6</w:t>
            </w:r>
          </w:p>
        </w:tc>
        <w:tc>
          <w:tcPr>
            <w:tcW w:w="1395" w:type="dxa"/>
            <w:tcBorders>
              <w:top w:val="nil"/>
              <w:left w:val="single" w:sz="4" w:space="0" w:color="auto"/>
              <w:bottom w:val="nil"/>
              <w:right w:val="nil"/>
            </w:tcBorders>
            <w:shd w:val="clear" w:color="auto" w:fill="auto"/>
            <w:noWrap/>
            <w:hideMark/>
          </w:tcPr>
          <w:p w14:paraId="1FFA42B1"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24,6</w:t>
            </w:r>
          </w:p>
        </w:tc>
      </w:tr>
      <w:tr w:rsidR="00743989" w:rsidRPr="003C3441" w14:paraId="1CFFE60A" w14:textId="77777777" w:rsidTr="00ED6611">
        <w:trPr>
          <w:trHeight w:val="255"/>
        </w:trPr>
        <w:tc>
          <w:tcPr>
            <w:tcW w:w="2140" w:type="dxa"/>
            <w:tcBorders>
              <w:top w:val="nil"/>
              <w:left w:val="nil"/>
              <w:bottom w:val="nil"/>
              <w:right w:val="nil"/>
            </w:tcBorders>
            <w:shd w:val="clear" w:color="auto" w:fill="auto"/>
            <w:noWrap/>
            <w:hideMark/>
          </w:tcPr>
          <w:p w14:paraId="69401222" w14:textId="77777777" w:rsidR="00743989" w:rsidRPr="003C3441" w:rsidRDefault="00743989" w:rsidP="003C3441">
            <w:pPr>
              <w:spacing w:after="0" w:line="240" w:lineRule="auto"/>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Outras Rendas</w:t>
            </w:r>
          </w:p>
        </w:tc>
        <w:tc>
          <w:tcPr>
            <w:tcW w:w="727" w:type="dxa"/>
            <w:tcBorders>
              <w:top w:val="nil"/>
              <w:left w:val="single" w:sz="4" w:space="0" w:color="auto"/>
              <w:bottom w:val="nil"/>
              <w:right w:val="nil"/>
            </w:tcBorders>
            <w:shd w:val="clear" w:color="auto" w:fill="auto"/>
            <w:noWrap/>
            <w:hideMark/>
          </w:tcPr>
          <w:p w14:paraId="5A048A20"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563" w:type="dxa"/>
            <w:tcBorders>
              <w:top w:val="nil"/>
              <w:left w:val="nil"/>
              <w:bottom w:val="nil"/>
              <w:right w:val="nil"/>
            </w:tcBorders>
            <w:shd w:val="clear" w:color="auto" w:fill="auto"/>
            <w:noWrap/>
            <w:hideMark/>
          </w:tcPr>
          <w:p w14:paraId="7B33DD6A"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92" w:type="dxa"/>
            <w:tcBorders>
              <w:top w:val="nil"/>
              <w:left w:val="nil"/>
              <w:bottom w:val="nil"/>
              <w:right w:val="nil"/>
            </w:tcBorders>
            <w:shd w:val="clear" w:color="auto" w:fill="auto"/>
            <w:noWrap/>
            <w:hideMark/>
          </w:tcPr>
          <w:p w14:paraId="0FC22C0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040" w:type="dxa"/>
            <w:tcBorders>
              <w:top w:val="nil"/>
              <w:left w:val="nil"/>
              <w:bottom w:val="nil"/>
              <w:right w:val="nil"/>
            </w:tcBorders>
            <w:shd w:val="clear" w:color="auto" w:fill="auto"/>
            <w:noWrap/>
            <w:hideMark/>
          </w:tcPr>
          <w:p w14:paraId="271F365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860" w:type="dxa"/>
            <w:tcBorders>
              <w:top w:val="nil"/>
              <w:left w:val="nil"/>
              <w:bottom w:val="nil"/>
              <w:right w:val="nil"/>
            </w:tcBorders>
            <w:shd w:val="clear" w:color="auto" w:fill="auto"/>
            <w:noWrap/>
            <w:hideMark/>
          </w:tcPr>
          <w:p w14:paraId="7374C434"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395" w:type="dxa"/>
            <w:tcBorders>
              <w:top w:val="nil"/>
              <w:left w:val="single" w:sz="4" w:space="0" w:color="auto"/>
              <w:bottom w:val="nil"/>
              <w:right w:val="nil"/>
            </w:tcBorders>
            <w:shd w:val="clear" w:color="auto" w:fill="auto"/>
            <w:noWrap/>
            <w:hideMark/>
          </w:tcPr>
          <w:p w14:paraId="6197F0DB"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p>
        </w:tc>
      </w:tr>
      <w:tr w:rsidR="00743989" w:rsidRPr="003C3441" w14:paraId="300F4704" w14:textId="77777777" w:rsidTr="00ED6611">
        <w:trPr>
          <w:trHeight w:val="255"/>
        </w:trPr>
        <w:tc>
          <w:tcPr>
            <w:tcW w:w="2140" w:type="dxa"/>
            <w:tcBorders>
              <w:top w:val="nil"/>
              <w:left w:val="nil"/>
              <w:bottom w:val="nil"/>
              <w:right w:val="nil"/>
            </w:tcBorders>
            <w:shd w:val="clear" w:color="auto" w:fill="auto"/>
            <w:noWrap/>
            <w:hideMark/>
          </w:tcPr>
          <w:p w14:paraId="2028D75D"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BF</w:t>
            </w:r>
          </w:p>
        </w:tc>
        <w:tc>
          <w:tcPr>
            <w:tcW w:w="727" w:type="dxa"/>
            <w:tcBorders>
              <w:top w:val="nil"/>
              <w:left w:val="single" w:sz="4" w:space="0" w:color="auto"/>
              <w:bottom w:val="nil"/>
              <w:right w:val="nil"/>
            </w:tcBorders>
            <w:shd w:val="clear" w:color="auto" w:fill="auto"/>
            <w:noWrap/>
            <w:hideMark/>
          </w:tcPr>
          <w:p w14:paraId="59DADA6F"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13,0</w:t>
            </w:r>
          </w:p>
        </w:tc>
        <w:tc>
          <w:tcPr>
            <w:tcW w:w="1563" w:type="dxa"/>
            <w:tcBorders>
              <w:top w:val="nil"/>
              <w:left w:val="nil"/>
              <w:bottom w:val="nil"/>
              <w:right w:val="nil"/>
            </w:tcBorders>
            <w:shd w:val="clear" w:color="auto" w:fill="auto"/>
            <w:noWrap/>
            <w:hideMark/>
          </w:tcPr>
          <w:p w14:paraId="3BFAB16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51,6</w:t>
            </w:r>
          </w:p>
        </w:tc>
        <w:tc>
          <w:tcPr>
            <w:tcW w:w="992" w:type="dxa"/>
            <w:tcBorders>
              <w:top w:val="nil"/>
              <w:left w:val="nil"/>
              <w:bottom w:val="nil"/>
              <w:right w:val="nil"/>
            </w:tcBorders>
            <w:shd w:val="clear" w:color="auto" w:fill="auto"/>
            <w:noWrap/>
            <w:hideMark/>
          </w:tcPr>
          <w:p w14:paraId="1B73ED5F"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22,0</w:t>
            </w:r>
          </w:p>
        </w:tc>
        <w:tc>
          <w:tcPr>
            <w:tcW w:w="1040" w:type="dxa"/>
            <w:tcBorders>
              <w:top w:val="nil"/>
              <w:left w:val="nil"/>
              <w:bottom w:val="nil"/>
              <w:right w:val="nil"/>
            </w:tcBorders>
            <w:shd w:val="clear" w:color="auto" w:fill="auto"/>
            <w:noWrap/>
            <w:hideMark/>
          </w:tcPr>
          <w:p w14:paraId="4966172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7,5</w:t>
            </w:r>
          </w:p>
        </w:tc>
        <w:tc>
          <w:tcPr>
            <w:tcW w:w="860" w:type="dxa"/>
            <w:tcBorders>
              <w:top w:val="nil"/>
              <w:left w:val="nil"/>
              <w:bottom w:val="nil"/>
              <w:right w:val="nil"/>
            </w:tcBorders>
            <w:shd w:val="clear" w:color="auto" w:fill="auto"/>
            <w:noWrap/>
            <w:hideMark/>
          </w:tcPr>
          <w:p w14:paraId="6C92EB2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5,9</w:t>
            </w:r>
          </w:p>
        </w:tc>
        <w:tc>
          <w:tcPr>
            <w:tcW w:w="1395" w:type="dxa"/>
            <w:tcBorders>
              <w:top w:val="nil"/>
              <w:left w:val="single" w:sz="4" w:space="0" w:color="auto"/>
              <w:bottom w:val="nil"/>
              <w:right w:val="nil"/>
            </w:tcBorders>
            <w:shd w:val="clear" w:color="auto" w:fill="auto"/>
            <w:noWrap/>
            <w:hideMark/>
          </w:tcPr>
          <w:p w14:paraId="5B5391DA"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0,9</w:t>
            </w:r>
          </w:p>
        </w:tc>
      </w:tr>
      <w:tr w:rsidR="00743989" w:rsidRPr="003C3441" w14:paraId="1B900B6D" w14:textId="77777777" w:rsidTr="00ED6611">
        <w:trPr>
          <w:trHeight w:val="255"/>
        </w:trPr>
        <w:tc>
          <w:tcPr>
            <w:tcW w:w="2140" w:type="dxa"/>
            <w:tcBorders>
              <w:top w:val="nil"/>
              <w:left w:val="nil"/>
              <w:bottom w:val="nil"/>
              <w:right w:val="nil"/>
            </w:tcBorders>
            <w:shd w:val="clear" w:color="auto" w:fill="auto"/>
            <w:noWrap/>
            <w:hideMark/>
          </w:tcPr>
          <w:p w14:paraId="552430BB"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BPC</w:t>
            </w:r>
          </w:p>
        </w:tc>
        <w:tc>
          <w:tcPr>
            <w:tcW w:w="727" w:type="dxa"/>
            <w:tcBorders>
              <w:top w:val="nil"/>
              <w:left w:val="single" w:sz="4" w:space="0" w:color="auto"/>
              <w:bottom w:val="nil"/>
              <w:right w:val="nil"/>
            </w:tcBorders>
            <w:shd w:val="clear" w:color="auto" w:fill="auto"/>
            <w:noWrap/>
            <w:hideMark/>
          </w:tcPr>
          <w:p w14:paraId="686E4C5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11,5</w:t>
            </w:r>
          </w:p>
        </w:tc>
        <w:tc>
          <w:tcPr>
            <w:tcW w:w="1563" w:type="dxa"/>
            <w:tcBorders>
              <w:top w:val="nil"/>
              <w:left w:val="nil"/>
              <w:bottom w:val="nil"/>
              <w:right w:val="nil"/>
            </w:tcBorders>
            <w:shd w:val="clear" w:color="auto" w:fill="auto"/>
            <w:noWrap/>
            <w:hideMark/>
          </w:tcPr>
          <w:p w14:paraId="6A72F68C"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35,5</w:t>
            </w:r>
          </w:p>
        </w:tc>
        <w:tc>
          <w:tcPr>
            <w:tcW w:w="992" w:type="dxa"/>
            <w:tcBorders>
              <w:top w:val="nil"/>
              <w:left w:val="nil"/>
              <w:bottom w:val="nil"/>
              <w:right w:val="nil"/>
            </w:tcBorders>
            <w:shd w:val="clear" w:color="auto" w:fill="auto"/>
            <w:noWrap/>
            <w:hideMark/>
          </w:tcPr>
          <w:p w14:paraId="5769565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32,8</w:t>
            </w:r>
          </w:p>
        </w:tc>
        <w:tc>
          <w:tcPr>
            <w:tcW w:w="1040" w:type="dxa"/>
            <w:tcBorders>
              <w:top w:val="nil"/>
              <w:left w:val="nil"/>
              <w:bottom w:val="nil"/>
              <w:right w:val="nil"/>
            </w:tcBorders>
            <w:shd w:val="clear" w:color="auto" w:fill="auto"/>
            <w:noWrap/>
            <w:hideMark/>
          </w:tcPr>
          <w:p w14:paraId="7F23112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11,6</w:t>
            </w:r>
          </w:p>
        </w:tc>
        <w:tc>
          <w:tcPr>
            <w:tcW w:w="860" w:type="dxa"/>
            <w:tcBorders>
              <w:top w:val="nil"/>
              <w:left w:val="nil"/>
              <w:bottom w:val="nil"/>
              <w:right w:val="nil"/>
            </w:tcBorders>
            <w:shd w:val="clear" w:color="auto" w:fill="auto"/>
            <w:noWrap/>
            <w:hideMark/>
          </w:tcPr>
          <w:p w14:paraId="7F55665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8,6</w:t>
            </w:r>
          </w:p>
        </w:tc>
        <w:tc>
          <w:tcPr>
            <w:tcW w:w="1395" w:type="dxa"/>
            <w:tcBorders>
              <w:top w:val="nil"/>
              <w:left w:val="single" w:sz="4" w:space="0" w:color="auto"/>
              <w:bottom w:val="nil"/>
              <w:right w:val="nil"/>
            </w:tcBorders>
            <w:shd w:val="clear" w:color="auto" w:fill="auto"/>
            <w:noWrap/>
            <w:hideMark/>
          </w:tcPr>
          <w:p w14:paraId="0A4531B1"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0,6</w:t>
            </w:r>
          </w:p>
        </w:tc>
      </w:tr>
      <w:tr w:rsidR="00743989" w:rsidRPr="003C3441" w14:paraId="67A062EF" w14:textId="77777777" w:rsidTr="00ED6611">
        <w:trPr>
          <w:trHeight w:val="255"/>
        </w:trPr>
        <w:tc>
          <w:tcPr>
            <w:tcW w:w="2140" w:type="dxa"/>
            <w:tcBorders>
              <w:top w:val="nil"/>
              <w:left w:val="nil"/>
              <w:bottom w:val="nil"/>
              <w:right w:val="nil"/>
            </w:tcBorders>
            <w:shd w:val="clear" w:color="auto" w:fill="auto"/>
            <w:noWrap/>
            <w:hideMark/>
          </w:tcPr>
          <w:p w14:paraId="001309F3"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Capital</w:t>
            </w:r>
          </w:p>
        </w:tc>
        <w:tc>
          <w:tcPr>
            <w:tcW w:w="727" w:type="dxa"/>
            <w:tcBorders>
              <w:top w:val="nil"/>
              <w:left w:val="single" w:sz="4" w:space="0" w:color="auto"/>
              <w:bottom w:val="nil"/>
              <w:right w:val="nil"/>
            </w:tcBorders>
            <w:shd w:val="clear" w:color="auto" w:fill="auto"/>
            <w:noWrap/>
            <w:hideMark/>
          </w:tcPr>
          <w:p w14:paraId="75716F5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6,2</w:t>
            </w:r>
          </w:p>
        </w:tc>
        <w:tc>
          <w:tcPr>
            <w:tcW w:w="1563" w:type="dxa"/>
            <w:tcBorders>
              <w:top w:val="nil"/>
              <w:left w:val="nil"/>
              <w:bottom w:val="nil"/>
              <w:right w:val="nil"/>
            </w:tcBorders>
            <w:shd w:val="clear" w:color="auto" w:fill="auto"/>
            <w:noWrap/>
            <w:hideMark/>
          </w:tcPr>
          <w:p w14:paraId="1BC94210"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16,1</w:t>
            </w:r>
          </w:p>
        </w:tc>
        <w:tc>
          <w:tcPr>
            <w:tcW w:w="992" w:type="dxa"/>
            <w:tcBorders>
              <w:top w:val="nil"/>
              <w:left w:val="nil"/>
              <w:bottom w:val="nil"/>
              <w:right w:val="nil"/>
            </w:tcBorders>
            <w:shd w:val="clear" w:color="auto" w:fill="auto"/>
            <w:noWrap/>
            <w:hideMark/>
          </w:tcPr>
          <w:p w14:paraId="12F81ED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49,6</w:t>
            </w:r>
          </w:p>
        </w:tc>
        <w:tc>
          <w:tcPr>
            <w:tcW w:w="1040" w:type="dxa"/>
            <w:tcBorders>
              <w:top w:val="nil"/>
              <w:left w:val="nil"/>
              <w:bottom w:val="nil"/>
              <w:right w:val="nil"/>
            </w:tcBorders>
            <w:shd w:val="clear" w:color="auto" w:fill="auto"/>
            <w:noWrap/>
            <w:hideMark/>
          </w:tcPr>
          <w:p w14:paraId="53C37BA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22,0</w:t>
            </w:r>
          </w:p>
        </w:tc>
        <w:tc>
          <w:tcPr>
            <w:tcW w:w="860" w:type="dxa"/>
            <w:tcBorders>
              <w:top w:val="nil"/>
              <w:left w:val="nil"/>
              <w:bottom w:val="nil"/>
              <w:right w:val="nil"/>
            </w:tcBorders>
            <w:shd w:val="clear" w:color="auto" w:fill="auto"/>
            <w:noWrap/>
            <w:hideMark/>
          </w:tcPr>
          <w:p w14:paraId="0D6B0724"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6,0</w:t>
            </w:r>
          </w:p>
        </w:tc>
        <w:tc>
          <w:tcPr>
            <w:tcW w:w="1395" w:type="dxa"/>
            <w:tcBorders>
              <w:top w:val="nil"/>
              <w:left w:val="single" w:sz="4" w:space="0" w:color="auto"/>
              <w:bottom w:val="nil"/>
              <w:right w:val="nil"/>
            </w:tcBorders>
            <w:shd w:val="clear" w:color="auto" w:fill="auto"/>
            <w:noWrap/>
            <w:hideMark/>
          </w:tcPr>
          <w:p w14:paraId="5DFDAB45"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0,5</w:t>
            </w:r>
          </w:p>
        </w:tc>
      </w:tr>
      <w:tr w:rsidR="00743989" w:rsidRPr="003C3441" w14:paraId="691CC5FA" w14:textId="77777777" w:rsidTr="00ED6611">
        <w:trPr>
          <w:trHeight w:val="255"/>
        </w:trPr>
        <w:tc>
          <w:tcPr>
            <w:tcW w:w="2140" w:type="dxa"/>
            <w:tcBorders>
              <w:top w:val="nil"/>
              <w:left w:val="nil"/>
              <w:bottom w:val="nil"/>
              <w:right w:val="nil"/>
            </w:tcBorders>
            <w:shd w:val="clear" w:color="auto" w:fill="auto"/>
            <w:noWrap/>
            <w:hideMark/>
          </w:tcPr>
          <w:p w14:paraId="0F00681C"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Aluguéis</w:t>
            </w:r>
          </w:p>
        </w:tc>
        <w:tc>
          <w:tcPr>
            <w:tcW w:w="727" w:type="dxa"/>
            <w:tcBorders>
              <w:top w:val="nil"/>
              <w:left w:val="single" w:sz="4" w:space="0" w:color="auto"/>
              <w:bottom w:val="nil"/>
              <w:right w:val="nil"/>
            </w:tcBorders>
            <w:shd w:val="clear" w:color="auto" w:fill="auto"/>
            <w:noWrap/>
            <w:hideMark/>
          </w:tcPr>
          <w:p w14:paraId="1DA6A24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7,0</w:t>
            </w:r>
          </w:p>
        </w:tc>
        <w:tc>
          <w:tcPr>
            <w:tcW w:w="1563" w:type="dxa"/>
            <w:tcBorders>
              <w:top w:val="nil"/>
              <w:left w:val="nil"/>
              <w:bottom w:val="nil"/>
              <w:right w:val="nil"/>
            </w:tcBorders>
            <w:shd w:val="clear" w:color="auto" w:fill="auto"/>
            <w:noWrap/>
            <w:hideMark/>
          </w:tcPr>
          <w:p w14:paraId="1CAB9EA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16,0</w:t>
            </w:r>
          </w:p>
        </w:tc>
        <w:tc>
          <w:tcPr>
            <w:tcW w:w="992" w:type="dxa"/>
            <w:tcBorders>
              <w:top w:val="nil"/>
              <w:left w:val="nil"/>
              <w:bottom w:val="nil"/>
              <w:right w:val="nil"/>
            </w:tcBorders>
            <w:shd w:val="clear" w:color="auto" w:fill="auto"/>
            <w:noWrap/>
            <w:hideMark/>
          </w:tcPr>
          <w:p w14:paraId="7EF192D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46,5</w:t>
            </w:r>
          </w:p>
        </w:tc>
        <w:tc>
          <w:tcPr>
            <w:tcW w:w="1040" w:type="dxa"/>
            <w:tcBorders>
              <w:top w:val="nil"/>
              <w:left w:val="nil"/>
              <w:bottom w:val="nil"/>
              <w:right w:val="nil"/>
            </w:tcBorders>
            <w:shd w:val="clear" w:color="auto" w:fill="auto"/>
            <w:noWrap/>
            <w:hideMark/>
          </w:tcPr>
          <w:p w14:paraId="149AB106"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19,6</w:t>
            </w:r>
          </w:p>
        </w:tc>
        <w:tc>
          <w:tcPr>
            <w:tcW w:w="860" w:type="dxa"/>
            <w:tcBorders>
              <w:top w:val="nil"/>
              <w:left w:val="nil"/>
              <w:bottom w:val="nil"/>
              <w:right w:val="nil"/>
            </w:tcBorders>
            <w:shd w:val="clear" w:color="auto" w:fill="auto"/>
            <w:noWrap/>
            <w:hideMark/>
          </w:tcPr>
          <w:p w14:paraId="0D85FD23"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10,9</w:t>
            </w:r>
          </w:p>
        </w:tc>
        <w:tc>
          <w:tcPr>
            <w:tcW w:w="1395" w:type="dxa"/>
            <w:tcBorders>
              <w:top w:val="nil"/>
              <w:left w:val="single" w:sz="4" w:space="0" w:color="auto"/>
              <w:bottom w:val="nil"/>
              <w:right w:val="nil"/>
            </w:tcBorders>
            <w:shd w:val="clear" w:color="auto" w:fill="auto"/>
            <w:noWrap/>
            <w:hideMark/>
          </w:tcPr>
          <w:p w14:paraId="684CE5E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1,3</w:t>
            </w:r>
          </w:p>
        </w:tc>
      </w:tr>
      <w:tr w:rsidR="00743989" w:rsidRPr="003C3441" w14:paraId="01B8FBDE" w14:textId="77777777" w:rsidTr="00ED6611">
        <w:trPr>
          <w:trHeight w:val="255"/>
        </w:trPr>
        <w:tc>
          <w:tcPr>
            <w:tcW w:w="2140" w:type="dxa"/>
            <w:tcBorders>
              <w:top w:val="nil"/>
              <w:left w:val="nil"/>
              <w:right w:val="nil"/>
            </w:tcBorders>
            <w:shd w:val="clear" w:color="auto" w:fill="auto"/>
            <w:noWrap/>
            <w:hideMark/>
          </w:tcPr>
          <w:p w14:paraId="0FE3F9B7" w14:textId="77777777" w:rsidR="00743989" w:rsidRPr="003C3441" w:rsidRDefault="00743989" w:rsidP="003C3441">
            <w:pPr>
              <w:spacing w:after="0" w:line="240" w:lineRule="auto"/>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Após. E Pensões</w:t>
            </w:r>
          </w:p>
        </w:tc>
        <w:tc>
          <w:tcPr>
            <w:tcW w:w="727" w:type="dxa"/>
            <w:tcBorders>
              <w:top w:val="nil"/>
              <w:left w:val="single" w:sz="4" w:space="0" w:color="auto"/>
              <w:right w:val="nil"/>
            </w:tcBorders>
            <w:shd w:val="clear" w:color="auto" w:fill="auto"/>
            <w:noWrap/>
            <w:hideMark/>
          </w:tcPr>
          <w:p w14:paraId="37EF988E"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4,1</w:t>
            </w:r>
          </w:p>
        </w:tc>
        <w:tc>
          <w:tcPr>
            <w:tcW w:w="1563" w:type="dxa"/>
            <w:tcBorders>
              <w:top w:val="nil"/>
              <w:left w:val="nil"/>
              <w:right w:val="nil"/>
            </w:tcBorders>
            <w:shd w:val="clear" w:color="auto" w:fill="auto"/>
            <w:noWrap/>
            <w:hideMark/>
          </w:tcPr>
          <w:p w14:paraId="7DBC4677"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20,8</w:t>
            </w:r>
          </w:p>
        </w:tc>
        <w:tc>
          <w:tcPr>
            <w:tcW w:w="992" w:type="dxa"/>
            <w:tcBorders>
              <w:top w:val="nil"/>
              <w:left w:val="nil"/>
              <w:right w:val="nil"/>
            </w:tcBorders>
            <w:shd w:val="clear" w:color="auto" w:fill="auto"/>
            <w:noWrap/>
            <w:hideMark/>
          </w:tcPr>
          <w:p w14:paraId="3AE83CF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50,4</w:t>
            </w:r>
          </w:p>
        </w:tc>
        <w:tc>
          <w:tcPr>
            <w:tcW w:w="1040" w:type="dxa"/>
            <w:tcBorders>
              <w:top w:val="nil"/>
              <w:left w:val="nil"/>
              <w:right w:val="nil"/>
            </w:tcBorders>
            <w:shd w:val="clear" w:color="auto" w:fill="auto"/>
            <w:noWrap/>
            <w:hideMark/>
          </w:tcPr>
          <w:p w14:paraId="7A789631"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17,7</w:t>
            </w:r>
          </w:p>
        </w:tc>
        <w:tc>
          <w:tcPr>
            <w:tcW w:w="860" w:type="dxa"/>
            <w:tcBorders>
              <w:top w:val="nil"/>
              <w:left w:val="nil"/>
              <w:right w:val="nil"/>
            </w:tcBorders>
            <w:shd w:val="clear" w:color="auto" w:fill="auto"/>
            <w:noWrap/>
            <w:hideMark/>
          </w:tcPr>
          <w:p w14:paraId="7F26BF4C"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7,0</w:t>
            </w:r>
          </w:p>
        </w:tc>
        <w:tc>
          <w:tcPr>
            <w:tcW w:w="1395" w:type="dxa"/>
            <w:tcBorders>
              <w:top w:val="nil"/>
              <w:left w:val="single" w:sz="4" w:space="0" w:color="auto"/>
              <w:bottom w:val="nil"/>
              <w:right w:val="nil"/>
            </w:tcBorders>
            <w:shd w:val="clear" w:color="auto" w:fill="auto"/>
            <w:noWrap/>
            <w:hideMark/>
          </w:tcPr>
          <w:p w14:paraId="0C85BD3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19,4</w:t>
            </w:r>
          </w:p>
        </w:tc>
      </w:tr>
      <w:tr w:rsidR="00743989" w:rsidRPr="003C3441" w14:paraId="10B2789D" w14:textId="77777777" w:rsidTr="00ED6611">
        <w:trPr>
          <w:trHeight w:val="255"/>
        </w:trPr>
        <w:tc>
          <w:tcPr>
            <w:tcW w:w="2140" w:type="dxa"/>
            <w:tcBorders>
              <w:top w:val="nil"/>
              <w:left w:val="nil"/>
              <w:bottom w:val="single" w:sz="4" w:space="0" w:color="auto"/>
              <w:right w:val="single" w:sz="4" w:space="0" w:color="auto"/>
            </w:tcBorders>
            <w:shd w:val="clear" w:color="auto" w:fill="auto"/>
            <w:noWrap/>
            <w:hideMark/>
          </w:tcPr>
          <w:p w14:paraId="30A3240E" w14:textId="77777777" w:rsidR="00743989" w:rsidRPr="003C3441" w:rsidRDefault="00743989" w:rsidP="003C3441">
            <w:pPr>
              <w:spacing w:after="0" w:line="240" w:lineRule="auto"/>
              <w:rPr>
                <w:rFonts w:ascii="Arial" w:eastAsia="Times New Roman" w:hAnsi="Arial" w:cs="Arial"/>
                <w:b/>
                <w:bCs/>
                <w:color w:val="000000" w:themeColor="text1"/>
                <w:sz w:val="18"/>
                <w:szCs w:val="18"/>
                <w:lang w:eastAsia="pt-BR"/>
              </w:rPr>
            </w:pPr>
            <w:r w:rsidRPr="003C3441">
              <w:rPr>
                <w:rFonts w:ascii="Arial" w:eastAsia="Times New Roman" w:hAnsi="Arial" w:cs="Arial"/>
                <w:b/>
                <w:bCs/>
                <w:color w:val="000000" w:themeColor="text1"/>
                <w:sz w:val="18"/>
                <w:szCs w:val="18"/>
                <w:lang w:eastAsia="pt-BR"/>
              </w:rPr>
              <w:t>Renda Total</w:t>
            </w:r>
          </w:p>
        </w:tc>
        <w:tc>
          <w:tcPr>
            <w:tcW w:w="727" w:type="dxa"/>
            <w:tcBorders>
              <w:top w:val="nil"/>
              <w:left w:val="nil"/>
              <w:bottom w:val="single" w:sz="4" w:space="0" w:color="auto"/>
              <w:right w:val="nil"/>
            </w:tcBorders>
            <w:shd w:val="clear" w:color="auto" w:fill="auto"/>
            <w:noWrap/>
            <w:hideMark/>
          </w:tcPr>
          <w:p w14:paraId="7DAAED99"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5,8</w:t>
            </w:r>
          </w:p>
        </w:tc>
        <w:tc>
          <w:tcPr>
            <w:tcW w:w="1563" w:type="dxa"/>
            <w:tcBorders>
              <w:top w:val="nil"/>
              <w:left w:val="nil"/>
              <w:bottom w:val="single" w:sz="4" w:space="0" w:color="auto"/>
              <w:right w:val="nil"/>
            </w:tcBorders>
            <w:shd w:val="clear" w:color="auto" w:fill="auto"/>
            <w:noWrap/>
            <w:hideMark/>
          </w:tcPr>
          <w:p w14:paraId="216A067D"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17,3</w:t>
            </w:r>
          </w:p>
        </w:tc>
        <w:tc>
          <w:tcPr>
            <w:tcW w:w="992" w:type="dxa"/>
            <w:tcBorders>
              <w:top w:val="nil"/>
              <w:left w:val="nil"/>
              <w:bottom w:val="single" w:sz="4" w:space="0" w:color="auto"/>
              <w:right w:val="nil"/>
            </w:tcBorders>
            <w:shd w:val="clear" w:color="auto" w:fill="auto"/>
            <w:noWrap/>
            <w:hideMark/>
          </w:tcPr>
          <w:p w14:paraId="7B879F48"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49,8</w:t>
            </w:r>
          </w:p>
        </w:tc>
        <w:tc>
          <w:tcPr>
            <w:tcW w:w="1040" w:type="dxa"/>
            <w:tcBorders>
              <w:top w:val="nil"/>
              <w:left w:val="nil"/>
              <w:bottom w:val="single" w:sz="4" w:space="0" w:color="auto"/>
              <w:right w:val="nil"/>
            </w:tcBorders>
            <w:shd w:val="clear" w:color="auto" w:fill="auto"/>
            <w:noWrap/>
            <w:hideMark/>
          </w:tcPr>
          <w:p w14:paraId="1CF67E00"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17,5</w:t>
            </w:r>
          </w:p>
        </w:tc>
        <w:tc>
          <w:tcPr>
            <w:tcW w:w="860" w:type="dxa"/>
            <w:tcBorders>
              <w:top w:val="nil"/>
              <w:left w:val="nil"/>
              <w:bottom w:val="single" w:sz="4" w:space="0" w:color="auto"/>
              <w:right w:val="nil"/>
            </w:tcBorders>
            <w:shd w:val="clear" w:color="auto" w:fill="auto"/>
            <w:noWrap/>
            <w:hideMark/>
          </w:tcPr>
          <w:p w14:paraId="374C8EC2"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9,5</w:t>
            </w:r>
          </w:p>
        </w:tc>
        <w:tc>
          <w:tcPr>
            <w:tcW w:w="1395" w:type="dxa"/>
            <w:tcBorders>
              <w:top w:val="nil"/>
              <w:left w:val="single" w:sz="4" w:space="0" w:color="auto"/>
              <w:bottom w:val="single" w:sz="4" w:space="0" w:color="auto"/>
              <w:right w:val="nil"/>
            </w:tcBorders>
            <w:shd w:val="clear" w:color="auto" w:fill="auto"/>
            <w:noWrap/>
            <w:hideMark/>
          </w:tcPr>
          <w:p w14:paraId="0F0D6A44" w14:textId="77777777" w:rsidR="00743989" w:rsidRPr="003C3441" w:rsidRDefault="00743989" w:rsidP="003C3441">
            <w:pPr>
              <w:spacing w:after="0" w:line="240" w:lineRule="auto"/>
              <w:jc w:val="center"/>
              <w:rPr>
                <w:rFonts w:ascii="Arial" w:eastAsia="Times New Roman" w:hAnsi="Arial" w:cs="Arial"/>
                <w:color w:val="000000" w:themeColor="text1"/>
                <w:sz w:val="18"/>
                <w:szCs w:val="18"/>
                <w:lang w:eastAsia="pt-BR"/>
              </w:rPr>
            </w:pPr>
            <w:r w:rsidRPr="003C3441">
              <w:rPr>
                <w:rFonts w:ascii="Arial" w:eastAsia="Times New Roman" w:hAnsi="Arial" w:cs="Arial"/>
                <w:color w:val="000000" w:themeColor="text1"/>
                <w:sz w:val="18"/>
                <w:szCs w:val="18"/>
                <w:lang w:eastAsia="pt-BR"/>
              </w:rPr>
              <w:t>100,0</w:t>
            </w:r>
          </w:p>
        </w:tc>
      </w:tr>
    </w:tbl>
    <w:p w14:paraId="29C9E492" w14:textId="77777777" w:rsidR="00743989" w:rsidRPr="00274ECC" w:rsidRDefault="00743989" w:rsidP="003C3441">
      <w:pPr>
        <w:spacing w:after="0" w:line="360" w:lineRule="auto"/>
        <w:rPr>
          <w:rFonts w:ascii="Times New Roman" w:hAnsi="Times New Roman" w:cs="Times New Roman"/>
          <w:color w:val="000000" w:themeColor="text1"/>
          <w:sz w:val="20"/>
          <w:szCs w:val="20"/>
        </w:rPr>
      </w:pPr>
      <w:r w:rsidRPr="00274ECC">
        <w:rPr>
          <w:rFonts w:ascii="Times New Roman" w:hAnsi="Times New Roman" w:cs="Times New Roman"/>
          <w:b/>
          <w:color w:val="000000" w:themeColor="text1"/>
          <w:sz w:val="20"/>
          <w:szCs w:val="20"/>
        </w:rPr>
        <w:t>Fonte:</w:t>
      </w:r>
      <w:r w:rsidRPr="00274ECC">
        <w:rPr>
          <w:rFonts w:ascii="Times New Roman" w:hAnsi="Times New Roman" w:cs="Times New Roman"/>
          <w:color w:val="000000" w:themeColor="text1"/>
          <w:sz w:val="20"/>
          <w:szCs w:val="20"/>
        </w:rPr>
        <w:t xml:space="preserve"> elaboração própria com base nos microdados da PNAD/IBGE.</w:t>
      </w:r>
    </w:p>
    <w:p w14:paraId="41527E18"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14BC3C62" w14:textId="05F1F254" w:rsidR="00743989" w:rsidRPr="00853881" w:rsidRDefault="00743989" w:rsidP="003C3441">
      <w:pPr>
        <w:spacing w:after="0" w:line="360" w:lineRule="auto"/>
        <w:ind w:firstLine="709"/>
        <w:jc w:val="both"/>
        <w:rPr>
          <w:rFonts w:ascii="Times New Roman" w:hAnsi="Times New Roman" w:cs="Times New Roman"/>
          <w:sz w:val="24"/>
          <w:szCs w:val="24"/>
        </w:rPr>
      </w:pPr>
      <w:r w:rsidRPr="00274ECC">
        <w:rPr>
          <w:rFonts w:ascii="Times New Roman" w:hAnsi="Times New Roman" w:cs="Times New Roman"/>
          <w:color w:val="000000" w:themeColor="text1"/>
          <w:sz w:val="24"/>
          <w:szCs w:val="24"/>
        </w:rPr>
        <w:t>Nota-se, também, que o peso da renda dos menos escolarizados (Escol1) no Nordeste (27,4%) era bastante similar ao percentual desta região na população brasileira. Por outro lado, o peso desta região na fonte de renda dos mais escolarizados (Escol5) era de 13,8%. Tal situação contrasta também com aquela da região Sul: com apenas 7,5% da população total, era gerada na referida região, 11,7% da renda total dos mais escolarizados, com ensino superior (Escol5).</w:t>
      </w:r>
      <w:r w:rsidR="007A2E4C">
        <w:rPr>
          <w:rFonts w:ascii="Times New Roman" w:hAnsi="Times New Roman" w:cs="Times New Roman"/>
          <w:color w:val="000000" w:themeColor="text1"/>
          <w:sz w:val="24"/>
          <w:szCs w:val="24"/>
        </w:rPr>
        <w:t xml:space="preserve"> </w:t>
      </w:r>
      <w:r w:rsidR="007A2E4C" w:rsidRPr="00853881">
        <w:rPr>
          <w:rFonts w:ascii="Times New Roman" w:hAnsi="Times New Roman" w:cs="Times New Roman"/>
          <w:sz w:val="24"/>
          <w:szCs w:val="24"/>
        </w:rPr>
        <w:t>Note-se que tais evidências são consistentes com a importância da educação para explicar as desigualdades regionais de renda no Brasil apontadas por Duarte, Ferreira e Salvato (2003) e Silveira Neto e Menezes (2008).</w:t>
      </w:r>
    </w:p>
    <w:p w14:paraId="14653107" w14:textId="0B1596AC" w:rsidR="00743989" w:rsidRPr="00952C79" w:rsidRDefault="00743989" w:rsidP="003C3441">
      <w:pPr>
        <w:spacing w:after="0" w:line="360" w:lineRule="auto"/>
        <w:ind w:firstLine="709"/>
        <w:jc w:val="both"/>
        <w:rPr>
          <w:rFonts w:ascii="Times New Roman" w:hAnsi="Times New Roman" w:cs="Times New Roman"/>
          <w:b/>
          <w:color w:val="000000" w:themeColor="text1"/>
          <w:sz w:val="24"/>
          <w:szCs w:val="24"/>
        </w:rPr>
      </w:pPr>
      <w:r w:rsidRPr="00274ECC">
        <w:rPr>
          <w:rFonts w:ascii="Times New Roman" w:hAnsi="Times New Roman" w:cs="Times New Roman"/>
          <w:color w:val="000000" w:themeColor="text1"/>
          <w:sz w:val="24"/>
          <w:szCs w:val="24"/>
        </w:rPr>
        <w:t xml:space="preserve">Na tabela 2, pode ser observada a participação das fontes de renda na renda total gerada em cada região, ou seja, como era  distribuída a renda dentro de cada região do </w:t>
      </w:r>
      <w:r w:rsidRPr="00274ECC">
        <w:rPr>
          <w:rFonts w:ascii="Times New Roman" w:hAnsi="Times New Roman" w:cs="Times New Roman"/>
          <w:color w:val="000000" w:themeColor="text1"/>
          <w:sz w:val="24"/>
          <w:szCs w:val="24"/>
        </w:rPr>
        <w:lastRenderedPageBreak/>
        <w:t xml:space="preserve">país no ano de 2011. A partir desta tabela pode-se notar, por exemplo, que enquanto 9,2% da renda gerada na região Nordeste derivou da renda das pessoas analfabetas ou que frequentaram até a terceira série do ensino fundamental, no Sudeste esta fonte de renda representava apenas 4,9% do total.  </w:t>
      </w:r>
      <w:r w:rsidRPr="00952C79">
        <w:rPr>
          <w:rFonts w:ascii="Times New Roman" w:hAnsi="Times New Roman" w:cs="Times New Roman"/>
          <w:color w:val="000000" w:themeColor="text1"/>
          <w:sz w:val="24"/>
          <w:szCs w:val="24"/>
        </w:rPr>
        <w:t xml:space="preserve">Por outro lado, enquanto 24,5% da renda total gerada na região Nordeste era </w:t>
      </w:r>
      <w:r w:rsidR="00BB40BE" w:rsidRPr="00952C79">
        <w:rPr>
          <w:rFonts w:ascii="Times New Roman" w:hAnsi="Times New Roman" w:cs="Times New Roman"/>
          <w:color w:val="000000" w:themeColor="text1"/>
          <w:sz w:val="24"/>
          <w:szCs w:val="24"/>
        </w:rPr>
        <w:t>derivada da</w:t>
      </w:r>
      <w:r w:rsidRPr="00952C79">
        <w:rPr>
          <w:rFonts w:ascii="Times New Roman" w:hAnsi="Times New Roman" w:cs="Times New Roman"/>
          <w:color w:val="000000" w:themeColor="text1"/>
          <w:sz w:val="24"/>
          <w:szCs w:val="24"/>
        </w:rPr>
        <w:t xml:space="preserve"> renda das pessoas com ensino médio completo e superior incompleto, na região Sudeste esta fonte de renda representou </w:t>
      </w:r>
      <w:r w:rsidR="00BB40BE" w:rsidRPr="00952C79">
        <w:rPr>
          <w:rFonts w:ascii="Times New Roman" w:hAnsi="Times New Roman" w:cs="Times New Roman"/>
          <w:color w:val="000000" w:themeColor="text1"/>
          <w:sz w:val="24"/>
          <w:szCs w:val="24"/>
        </w:rPr>
        <w:t>27,7</w:t>
      </w:r>
      <w:r w:rsidRPr="00952C79">
        <w:rPr>
          <w:rFonts w:ascii="Times New Roman" w:hAnsi="Times New Roman" w:cs="Times New Roman"/>
          <w:color w:val="000000" w:themeColor="text1"/>
          <w:sz w:val="24"/>
          <w:szCs w:val="24"/>
        </w:rPr>
        <w:t>% do total da renda gerada na região.</w:t>
      </w:r>
    </w:p>
    <w:p w14:paraId="0916A094" w14:textId="77777777" w:rsidR="00743989" w:rsidRPr="00274ECC" w:rsidRDefault="00743989" w:rsidP="003C3441">
      <w:pPr>
        <w:spacing w:after="0" w:line="360" w:lineRule="auto"/>
        <w:jc w:val="center"/>
        <w:rPr>
          <w:rFonts w:ascii="Times New Roman" w:hAnsi="Times New Roman" w:cs="Times New Roman"/>
          <w:b/>
          <w:color w:val="000000" w:themeColor="text1"/>
          <w:sz w:val="24"/>
          <w:szCs w:val="24"/>
        </w:rPr>
      </w:pPr>
    </w:p>
    <w:p w14:paraId="441B08BC" w14:textId="77777777" w:rsidR="00743989" w:rsidRPr="00274ECC" w:rsidRDefault="00743989" w:rsidP="003C3441">
      <w:pPr>
        <w:spacing w:after="0" w:line="360" w:lineRule="auto"/>
        <w:jc w:val="center"/>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Tabela 2.</w:t>
      </w:r>
      <w:r w:rsidRPr="00274ECC">
        <w:rPr>
          <w:rFonts w:ascii="Times New Roman" w:hAnsi="Times New Roman" w:cs="Times New Roman"/>
          <w:color w:val="000000" w:themeColor="text1"/>
          <w:sz w:val="24"/>
          <w:szCs w:val="24"/>
        </w:rPr>
        <w:t xml:space="preserve"> </w:t>
      </w:r>
      <w:r w:rsidRPr="00274ECC">
        <w:rPr>
          <w:rFonts w:ascii="Times New Roman" w:hAnsi="Times New Roman" w:cs="Times New Roman"/>
          <w:b/>
          <w:color w:val="000000" w:themeColor="text1"/>
          <w:sz w:val="24"/>
          <w:szCs w:val="24"/>
        </w:rPr>
        <w:t>Participação de cada fonte de renda na renda total –</w:t>
      </w:r>
    </w:p>
    <w:p w14:paraId="5C2AEC43" w14:textId="77777777" w:rsidR="00743989" w:rsidRPr="00274ECC" w:rsidRDefault="00743989" w:rsidP="003C3441">
      <w:pPr>
        <w:spacing w:after="0" w:line="360" w:lineRule="auto"/>
        <w:ind w:firstLine="709"/>
        <w:jc w:val="center"/>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Macrorregiões do Brasil (%) - 2011</w:t>
      </w:r>
    </w:p>
    <w:tbl>
      <w:tblPr>
        <w:tblW w:w="7014" w:type="dxa"/>
        <w:jc w:val="center"/>
        <w:tblCellMar>
          <w:left w:w="70" w:type="dxa"/>
          <w:right w:w="70" w:type="dxa"/>
        </w:tblCellMar>
        <w:tblLook w:val="04A0" w:firstRow="1" w:lastRow="0" w:firstColumn="1" w:lastColumn="0" w:noHBand="0" w:noVBand="1"/>
      </w:tblPr>
      <w:tblGrid>
        <w:gridCol w:w="2140"/>
        <w:gridCol w:w="852"/>
        <w:gridCol w:w="1060"/>
        <w:gridCol w:w="937"/>
        <w:gridCol w:w="891"/>
        <w:gridCol w:w="1134"/>
      </w:tblGrid>
      <w:tr w:rsidR="00743989" w:rsidRPr="003C3441" w14:paraId="45746537" w14:textId="77777777" w:rsidTr="00ED6611">
        <w:trPr>
          <w:trHeight w:val="255"/>
          <w:jc w:val="center"/>
        </w:trPr>
        <w:tc>
          <w:tcPr>
            <w:tcW w:w="2140" w:type="dxa"/>
            <w:tcBorders>
              <w:top w:val="single" w:sz="4" w:space="0" w:color="auto"/>
              <w:left w:val="nil"/>
              <w:bottom w:val="nil"/>
              <w:right w:val="single" w:sz="4" w:space="0" w:color="auto"/>
            </w:tcBorders>
            <w:shd w:val="clear" w:color="auto" w:fill="auto"/>
            <w:noWrap/>
            <w:vAlign w:val="bottom"/>
            <w:hideMark/>
          </w:tcPr>
          <w:p w14:paraId="75B6A99E"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 </w:t>
            </w:r>
          </w:p>
        </w:tc>
        <w:tc>
          <w:tcPr>
            <w:tcW w:w="4874" w:type="dxa"/>
            <w:gridSpan w:val="5"/>
            <w:tcBorders>
              <w:top w:val="single" w:sz="4" w:space="0" w:color="auto"/>
              <w:left w:val="nil"/>
              <w:bottom w:val="nil"/>
              <w:right w:val="nil"/>
            </w:tcBorders>
            <w:shd w:val="clear" w:color="auto" w:fill="auto"/>
            <w:noWrap/>
            <w:vAlign w:val="center"/>
            <w:hideMark/>
          </w:tcPr>
          <w:p w14:paraId="7B960616"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Regiões</w:t>
            </w:r>
          </w:p>
        </w:tc>
      </w:tr>
      <w:tr w:rsidR="00743989" w:rsidRPr="003C3441" w14:paraId="7B233F31" w14:textId="77777777" w:rsidTr="00ED6611">
        <w:trPr>
          <w:trHeight w:val="255"/>
          <w:jc w:val="center"/>
        </w:trPr>
        <w:tc>
          <w:tcPr>
            <w:tcW w:w="2140" w:type="dxa"/>
            <w:tcBorders>
              <w:top w:val="nil"/>
              <w:left w:val="nil"/>
              <w:bottom w:val="single" w:sz="4" w:space="0" w:color="auto"/>
              <w:right w:val="single" w:sz="4" w:space="0" w:color="auto"/>
            </w:tcBorders>
            <w:shd w:val="clear" w:color="auto" w:fill="auto"/>
            <w:noWrap/>
            <w:vAlign w:val="bottom"/>
            <w:hideMark/>
          </w:tcPr>
          <w:p w14:paraId="1D5BC620"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 </w:t>
            </w:r>
          </w:p>
        </w:tc>
        <w:tc>
          <w:tcPr>
            <w:tcW w:w="852" w:type="dxa"/>
            <w:tcBorders>
              <w:top w:val="nil"/>
              <w:left w:val="nil"/>
              <w:bottom w:val="single" w:sz="4" w:space="0" w:color="auto"/>
              <w:right w:val="nil"/>
            </w:tcBorders>
            <w:shd w:val="clear" w:color="auto" w:fill="auto"/>
            <w:noWrap/>
            <w:vAlign w:val="center"/>
            <w:hideMark/>
          </w:tcPr>
          <w:p w14:paraId="64CC769D"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Norte</w:t>
            </w:r>
          </w:p>
        </w:tc>
        <w:tc>
          <w:tcPr>
            <w:tcW w:w="1060" w:type="dxa"/>
            <w:tcBorders>
              <w:top w:val="nil"/>
              <w:left w:val="nil"/>
              <w:bottom w:val="single" w:sz="4" w:space="0" w:color="auto"/>
              <w:right w:val="nil"/>
            </w:tcBorders>
            <w:shd w:val="clear" w:color="auto" w:fill="auto"/>
            <w:noWrap/>
            <w:vAlign w:val="center"/>
            <w:hideMark/>
          </w:tcPr>
          <w:p w14:paraId="12EF5FB2"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Nordeste</w:t>
            </w:r>
          </w:p>
        </w:tc>
        <w:tc>
          <w:tcPr>
            <w:tcW w:w="937" w:type="dxa"/>
            <w:tcBorders>
              <w:top w:val="nil"/>
              <w:left w:val="nil"/>
              <w:bottom w:val="single" w:sz="4" w:space="0" w:color="auto"/>
              <w:right w:val="nil"/>
            </w:tcBorders>
            <w:shd w:val="clear" w:color="auto" w:fill="auto"/>
            <w:noWrap/>
            <w:vAlign w:val="center"/>
            <w:hideMark/>
          </w:tcPr>
          <w:p w14:paraId="0436F068"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Sudeste</w:t>
            </w:r>
          </w:p>
        </w:tc>
        <w:tc>
          <w:tcPr>
            <w:tcW w:w="891" w:type="dxa"/>
            <w:tcBorders>
              <w:top w:val="nil"/>
              <w:left w:val="nil"/>
              <w:bottom w:val="single" w:sz="4" w:space="0" w:color="auto"/>
              <w:right w:val="nil"/>
            </w:tcBorders>
            <w:shd w:val="clear" w:color="auto" w:fill="auto"/>
            <w:noWrap/>
            <w:vAlign w:val="center"/>
            <w:hideMark/>
          </w:tcPr>
          <w:p w14:paraId="4AB176DC"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Sul</w:t>
            </w:r>
          </w:p>
        </w:tc>
        <w:tc>
          <w:tcPr>
            <w:tcW w:w="1134" w:type="dxa"/>
            <w:tcBorders>
              <w:top w:val="nil"/>
              <w:left w:val="nil"/>
              <w:bottom w:val="single" w:sz="4" w:space="0" w:color="auto"/>
              <w:right w:val="nil"/>
            </w:tcBorders>
            <w:shd w:val="clear" w:color="auto" w:fill="auto"/>
            <w:noWrap/>
            <w:vAlign w:val="center"/>
            <w:hideMark/>
          </w:tcPr>
          <w:p w14:paraId="1529AECA" w14:textId="77777777" w:rsidR="00743989" w:rsidRPr="003C3441" w:rsidRDefault="00743989" w:rsidP="003C3441">
            <w:pPr>
              <w:spacing w:after="0" w:line="240" w:lineRule="auto"/>
              <w:jc w:val="center"/>
              <w:rPr>
                <w:rFonts w:ascii="Arial" w:hAnsi="Arial" w:cs="Arial"/>
                <w:b/>
                <w:color w:val="000000" w:themeColor="text1"/>
                <w:sz w:val="18"/>
                <w:szCs w:val="18"/>
              </w:rPr>
            </w:pPr>
            <w:r w:rsidRPr="003C3441">
              <w:rPr>
                <w:rFonts w:ascii="Arial" w:hAnsi="Arial" w:cs="Arial"/>
                <w:b/>
                <w:color w:val="000000" w:themeColor="text1"/>
                <w:sz w:val="18"/>
                <w:szCs w:val="18"/>
              </w:rPr>
              <w:t>Centro Oeste</w:t>
            </w:r>
          </w:p>
        </w:tc>
      </w:tr>
      <w:tr w:rsidR="00743989" w:rsidRPr="003C3441" w14:paraId="52E89494"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123C2367" w14:textId="77777777" w:rsidR="00743989" w:rsidRPr="003C3441" w:rsidRDefault="00743989" w:rsidP="003C3441">
            <w:pPr>
              <w:spacing w:after="0" w:line="240" w:lineRule="auto"/>
              <w:rPr>
                <w:rFonts w:ascii="Arial" w:hAnsi="Arial" w:cs="Arial"/>
                <w:b/>
                <w:color w:val="000000" w:themeColor="text1"/>
                <w:sz w:val="18"/>
                <w:szCs w:val="18"/>
              </w:rPr>
            </w:pPr>
            <w:r w:rsidRPr="003C3441">
              <w:rPr>
                <w:rFonts w:ascii="Arial" w:hAnsi="Arial" w:cs="Arial"/>
                <w:b/>
                <w:color w:val="000000" w:themeColor="text1"/>
                <w:sz w:val="18"/>
                <w:szCs w:val="18"/>
              </w:rPr>
              <w:t>Renda do trabalho</w:t>
            </w:r>
          </w:p>
        </w:tc>
        <w:tc>
          <w:tcPr>
            <w:tcW w:w="852" w:type="dxa"/>
            <w:tcBorders>
              <w:top w:val="nil"/>
              <w:left w:val="nil"/>
              <w:bottom w:val="nil"/>
              <w:right w:val="nil"/>
            </w:tcBorders>
            <w:shd w:val="clear" w:color="auto" w:fill="auto"/>
            <w:noWrap/>
            <w:vAlign w:val="bottom"/>
            <w:hideMark/>
          </w:tcPr>
          <w:p w14:paraId="2826EFC6"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1060" w:type="dxa"/>
            <w:tcBorders>
              <w:top w:val="nil"/>
              <w:left w:val="nil"/>
              <w:bottom w:val="nil"/>
              <w:right w:val="nil"/>
            </w:tcBorders>
            <w:shd w:val="clear" w:color="auto" w:fill="auto"/>
            <w:noWrap/>
            <w:vAlign w:val="bottom"/>
            <w:hideMark/>
          </w:tcPr>
          <w:p w14:paraId="78C95219"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937" w:type="dxa"/>
            <w:tcBorders>
              <w:top w:val="nil"/>
              <w:left w:val="nil"/>
              <w:bottom w:val="nil"/>
              <w:right w:val="nil"/>
            </w:tcBorders>
            <w:shd w:val="clear" w:color="auto" w:fill="auto"/>
            <w:noWrap/>
            <w:vAlign w:val="bottom"/>
            <w:hideMark/>
          </w:tcPr>
          <w:p w14:paraId="5E5F7ABF"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891" w:type="dxa"/>
            <w:tcBorders>
              <w:top w:val="nil"/>
              <w:left w:val="nil"/>
              <w:bottom w:val="nil"/>
              <w:right w:val="nil"/>
            </w:tcBorders>
            <w:shd w:val="clear" w:color="auto" w:fill="auto"/>
            <w:noWrap/>
            <w:vAlign w:val="bottom"/>
            <w:hideMark/>
          </w:tcPr>
          <w:p w14:paraId="0FF4E05C"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1134" w:type="dxa"/>
            <w:tcBorders>
              <w:top w:val="nil"/>
              <w:left w:val="nil"/>
              <w:bottom w:val="nil"/>
              <w:right w:val="nil"/>
            </w:tcBorders>
            <w:shd w:val="clear" w:color="auto" w:fill="auto"/>
            <w:noWrap/>
            <w:vAlign w:val="bottom"/>
            <w:hideMark/>
          </w:tcPr>
          <w:p w14:paraId="404FDD46" w14:textId="77777777" w:rsidR="00743989" w:rsidRPr="003C3441" w:rsidRDefault="00743989" w:rsidP="003C3441">
            <w:pPr>
              <w:spacing w:after="0" w:line="240" w:lineRule="auto"/>
              <w:jc w:val="center"/>
              <w:rPr>
                <w:rFonts w:ascii="Arial" w:hAnsi="Arial" w:cs="Arial"/>
                <w:color w:val="000000" w:themeColor="text1"/>
                <w:sz w:val="18"/>
                <w:szCs w:val="18"/>
              </w:rPr>
            </w:pPr>
          </w:p>
        </w:tc>
      </w:tr>
      <w:tr w:rsidR="00743989" w:rsidRPr="003C3441" w14:paraId="626D5510"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3F98DCEA"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Escol1</w:t>
            </w:r>
          </w:p>
        </w:tc>
        <w:tc>
          <w:tcPr>
            <w:tcW w:w="852" w:type="dxa"/>
            <w:tcBorders>
              <w:top w:val="nil"/>
              <w:left w:val="nil"/>
              <w:bottom w:val="nil"/>
              <w:right w:val="nil"/>
            </w:tcBorders>
            <w:shd w:val="clear" w:color="auto" w:fill="auto"/>
            <w:noWrap/>
            <w:vAlign w:val="bottom"/>
            <w:hideMark/>
          </w:tcPr>
          <w:p w14:paraId="665FCD1B"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9,8</w:t>
            </w:r>
          </w:p>
        </w:tc>
        <w:tc>
          <w:tcPr>
            <w:tcW w:w="1060" w:type="dxa"/>
            <w:tcBorders>
              <w:top w:val="nil"/>
              <w:left w:val="nil"/>
              <w:bottom w:val="nil"/>
              <w:right w:val="nil"/>
            </w:tcBorders>
            <w:shd w:val="clear" w:color="auto" w:fill="auto"/>
            <w:noWrap/>
            <w:vAlign w:val="bottom"/>
            <w:hideMark/>
          </w:tcPr>
          <w:p w14:paraId="044C6552"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9,2</w:t>
            </w:r>
          </w:p>
        </w:tc>
        <w:tc>
          <w:tcPr>
            <w:tcW w:w="937" w:type="dxa"/>
            <w:tcBorders>
              <w:top w:val="nil"/>
              <w:left w:val="nil"/>
              <w:bottom w:val="nil"/>
              <w:right w:val="nil"/>
            </w:tcBorders>
            <w:shd w:val="clear" w:color="auto" w:fill="auto"/>
            <w:noWrap/>
            <w:vAlign w:val="bottom"/>
            <w:hideMark/>
          </w:tcPr>
          <w:p w14:paraId="01D7AC78"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4,9</w:t>
            </w:r>
          </w:p>
        </w:tc>
        <w:tc>
          <w:tcPr>
            <w:tcW w:w="891" w:type="dxa"/>
            <w:tcBorders>
              <w:top w:val="nil"/>
              <w:left w:val="nil"/>
              <w:bottom w:val="nil"/>
              <w:right w:val="nil"/>
            </w:tcBorders>
            <w:shd w:val="clear" w:color="auto" w:fill="auto"/>
            <w:noWrap/>
            <w:vAlign w:val="bottom"/>
            <w:hideMark/>
          </w:tcPr>
          <w:p w14:paraId="4A003B7A"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4,5</w:t>
            </w:r>
          </w:p>
        </w:tc>
        <w:tc>
          <w:tcPr>
            <w:tcW w:w="1134" w:type="dxa"/>
            <w:tcBorders>
              <w:top w:val="nil"/>
              <w:left w:val="nil"/>
              <w:bottom w:val="nil"/>
              <w:right w:val="nil"/>
            </w:tcBorders>
            <w:shd w:val="clear" w:color="auto" w:fill="auto"/>
            <w:noWrap/>
            <w:vAlign w:val="bottom"/>
            <w:hideMark/>
          </w:tcPr>
          <w:p w14:paraId="05F6A6E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6,3</w:t>
            </w:r>
          </w:p>
        </w:tc>
      </w:tr>
      <w:tr w:rsidR="00743989" w:rsidRPr="003C3441" w14:paraId="43E617CA"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176537A8"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Escol2</w:t>
            </w:r>
          </w:p>
        </w:tc>
        <w:tc>
          <w:tcPr>
            <w:tcW w:w="852" w:type="dxa"/>
            <w:tcBorders>
              <w:top w:val="nil"/>
              <w:left w:val="nil"/>
              <w:bottom w:val="nil"/>
              <w:right w:val="nil"/>
            </w:tcBorders>
            <w:shd w:val="clear" w:color="auto" w:fill="auto"/>
            <w:noWrap/>
            <w:vAlign w:val="bottom"/>
            <w:hideMark/>
          </w:tcPr>
          <w:p w14:paraId="2114F0A4"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10,1</w:t>
            </w:r>
          </w:p>
        </w:tc>
        <w:tc>
          <w:tcPr>
            <w:tcW w:w="1060" w:type="dxa"/>
            <w:tcBorders>
              <w:top w:val="nil"/>
              <w:left w:val="nil"/>
              <w:bottom w:val="nil"/>
              <w:right w:val="nil"/>
            </w:tcBorders>
            <w:shd w:val="clear" w:color="auto" w:fill="auto"/>
            <w:noWrap/>
            <w:vAlign w:val="bottom"/>
            <w:hideMark/>
          </w:tcPr>
          <w:p w14:paraId="3B60776E"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9,2</w:t>
            </w:r>
          </w:p>
        </w:tc>
        <w:tc>
          <w:tcPr>
            <w:tcW w:w="937" w:type="dxa"/>
            <w:tcBorders>
              <w:top w:val="nil"/>
              <w:left w:val="nil"/>
              <w:bottom w:val="nil"/>
              <w:right w:val="nil"/>
            </w:tcBorders>
            <w:shd w:val="clear" w:color="auto" w:fill="auto"/>
            <w:noWrap/>
            <w:vAlign w:val="bottom"/>
            <w:hideMark/>
          </w:tcPr>
          <w:p w14:paraId="7ED2851C"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10,1</w:t>
            </w:r>
          </w:p>
        </w:tc>
        <w:tc>
          <w:tcPr>
            <w:tcW w:w="891" w:type="dxa"/>
            <w:tcBorders>
              <w:top w:val="nil"/>
              <w:left w:val="nil"/>
              <w:bottom w:val="nil"/>
              <w:right w:val="nil"/>
            </w:tcBorders>
            <w:shd w:val="clear" w:color="auto" w:fill="auto"/>
            <w:noWrap/>
            <w:vAlign w:val="bottom"/>
            <w:hideMark/>
          </w:tcPr>
          <w:p w14:paraId="6D496E51"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11,6</w:t>
            </w:r>
          </w:p>
        </w:tc>
        <w:tc>
          <w:tcPr>
            <w:tcW w:w="1134" w:type="dxa"/>
            <w:tcBorders>
              <w:top w:val="nil"/>
              <w:left w:val="nil"/>
              <w:bottom w:val="nil"/>
              <w:right w:val="nil"/>
            </w:tcBorders>
            <w:shd w:val="clear" w:color="auto" w:fill="auto"/>
            <w:noWrap/>
            <w:vAlign w:val="bottom"/>
            <w:hideMark/>
          </w:tcPr>
          <w:p w14:paraId="351A100A"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w:t>
            </w:r>
          </w:p>
        </w:tc>
      </w:tr>
      <w:tr w:rsidR="00743989" w:rsidRPr="003C3441" w14:paraId="644B58D9"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6D2B7726"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Escol3</w:t>
            </w:r>
          </w:p>
        </w:tc>
        <w:tc>
          <w:tcPr>
            <w:tcW w:w="852" w:type="dxa"/>
            <w:tcBorders>
              <w:top w:val="nil"/>
              <w:left w:val="nil"/>
              <w:bottom w:val="nil"/>
              <w:right w:val="nil"/>
            </w:tcBorders>
            <w:shd w:val="clear" w:color="auto" w:fill="auto"/>
            <w:noWrap/>
            <w:vAlign w:val="bottom"/>
            <w:hideMark/>
          </w:tcPr>
          <w:p w14:paraId="3786D3AF"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9,8</w:t>
            </w:r>
          </w:p>
        </w:tc>
        <w:tc>
          <w:tcPr>
            <w:tcW w:w="1060" w:type="dxa"/>
            <w:tcBorders>
              <w:top w:val="nil"/>
              <w:left w:val="nil"/>
              <w:bottom w:val="nil"/>
              <w:right w:val="nil"/>
            </w:tcBorders>
            <w:shd w:val="clear" w:color="auto" w:fill="auto"/>
            <w:noWrap/>
            <w:vAlign w:val="bottom"/>
            <w:hideMark/>
          </w:tcPr>
          <w:p w14:paraId="4A73A32F"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8,3</w:t>
            </w:r>
          </w:p>
        </w:tc>
        <w:tc>
          <w:tcPr>
            <w:tcW w:w="937" w:type="dxa"/>
            <w:tcBorders>
              <w:top w:val="nil"/>
              <w:left w:val="nil"/>
              <w:bottom w:val="nil"/>
              <w:right w:val="nil"/>
            </w:tcBorders>
            <w:shd w:val="clear" w:color="auto" w:fill="auto"/>
            <w:noWrap/>
            <w:vAlign w:val="bottom"/>
            <w:hideMark/>
          </w:tcPr>
          <w:p w14:paraId="51482E4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9,4</w:t>
            </w:r>
          </w:p>
        </w:tc>
        <w:tc>
          <w:tcPr>
            <w:tcW w:w="891" w:type="dxa"/>
            <w:tcBorders>
              <w:top w:val="nil"/>
              <w:left w:val="nil"/>
              <w:bottom w:val="nil"/>
              <w:right w:val="nil"/>
            </w:tcBorders>
            <w:shd w:val="clear" w:color="auto" w:fill="auto"/>
            <w:noWrap/>
            <w:vAlign w:val="bottom"/>
            <w:hideMark/>
          </w:tcPr>
          <w:p w14:paraId="5923F1FE"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11,2</w:t>
            </w:r>
          </w:p>
        </w:tc>
        <w:tc>
          <w:tcPr>
            <w:tcW w:w="1134" w:type="dxa"/>
            <w:tcBorders>
              <w:top w:val="nil"/>
              <w:left w:val="nil"/>
              <w:bottom w:val="nil"/>
              <w:right w:val="nil"/>
            </w:tcBorders>
            <w:shd w:val="clear" w:color="auto" w:fill="auto"/>
            <w:noWrap/>
            <w:vAlign w:val="bottom"/>
            <w:hideMark/>
          </w:tcPr>
          <w:p w14:paraId="530790D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10,4</w:t>
            </w:r>
          </w:p>
        </w:tc>
      </w:tr>
      <w:tr w:rsidR="00743989" w:rsidRPr="003C3441" w14:paraId="71107435"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399C5C24"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Escol4</w:t>
            </w:r>
          </w:p>
        </w:tc>
        <w:tc>
          <w:tcPr>
            <w:tcW w:w="852" w:type="dxa"/>
            <w:tcBorders>
              <w:top w:val="nil"/>
              <w:left w:val="nil"/>
              <w:bottom w:val="nil"/>
              <w:right w:val="nil"/>
            </w:tcBorders>
            <w:shd w:val="clear" w:color="auto" w:fill="auto"/>
            <w:noWrap/>
            <w:vAlign w:val="bottom"/>
            <w:hideMark/>
          </w:tcPr>
          <w:p w14:paraId="3E87ACB7"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31,9</w:t>
            </w:r>
          </w:p>
        </w:tc>
        <w:tc>
          <w:tcPr>
            <w:tcW w:w="1060" w:type="dxa"/>
            <w:tcBorders>
              <w:top w:val="nil"/>
              <w:left w:val="nil"/>
              <w:bottom w:val="nil"/>
              <w:right w:val="nil"/>
            </w:tcBorders>
            <w:shd w:val="clear" w:color="auto" w:fill="auto"/>
            <w:noWrap/>
            <w:vAlign w:val="bottom"/>
            <w:hideMark/>
          </w:tcPr>
          <w:p w14:paraId="75F9C7F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24,5</w:t>
            </w:r>
          </w:p>
        </w:tc>
        <w:tc>
          <w:tcPr>
            <w:tcW w:w="937" w:type="dxa"/>
            <w:tcBorders>
              <w:top w:val="nil"/>
              <w:left w:val="nil"/>
              <w:bottom w:val="nil"/>
              <w:right w:val="nil"/>
            </w:tcBorders>
            <w:shd w:val="clear" w:color="auto" w:fill="auto"/>
            <w:noWrap/>
            <w:vAlign w:val="bottom"/>
            <w:hideMark/>
          </w:tcPr>
          <w:p w14:paraId="0A782BC4"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27,7</w:t>
            </w:r>
          </w:p>
        </w:tc>
        <w:tc>
          <w:tcPr>
            <w:tcW w:w="891" w:type="dxa"/>
            <w:tcBorders>
              <w:top w:val="nil"/>
              <w:left w:val="nil"/>
              <w:bottom w:val="nil"/>
              <w:right w:val="nil"/>
            </w:tcBorders>
            <w:shd w:val="clear" w:color="auto" w:fill="auto"/>
            <w:noWrap/>
            <w:vAlign w:val="bottom"/>
            <w:hideMark/>
          </w:tcPr>
          <w:p w14:paraId="3F33AF22"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28,3</w:t>
            </w:r>
          </w:p>
        </w:tc>
        <w:tc>
          <w:tcPr>
            <w:tcW w:w="1134" w:type="dxa"/>
            <w:tcBorders>
              <w:top w:val="nil"/>
              <w:left w:val="nil"/>
              <w:bottom w:val="nil"/>
              <w:right w:val="nil"/>
            </w:tcBorders>
            <w:shd w:val="clear" w:color="auto" w:fill="auto"/>
            <w:noWrap/>
            <w:vAlign w:val="bottom"/>
            <w:hideMark/>
          </w:tcPr>
          <w:p w14:paraId="3CD27648"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26,8</w:t>
            </w:r>
          </w:p>
        </w:tc>
      </w:tr>
      <w:tr w:rsidR="00743989" w:rsidRPr="003C3441" w14:paraId="4BA7D291"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1F46FD1B"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Escol5</w:t>
            </w:r>
          </w:p>
        </w:tc>
        <w:tc>
          <w:tcPr>
            <w:tcW w:w="852" w:type="dxa"/>
            <w:tcBorders>
              <w:top w:val="nil"/>
              <w:left w:val="nil"/>
              <w:bottom w:val="nil"/>
              <w:right w:val="nil"/>
            </w:tcBorders>
            <w:shd w:val="clear" w:color="auto" w:fill="auto"/>
            <w:noWrap/>
            <w:vAlign w:val="bottom"/>
            <w:hideMark/>
          </w:tcPr>
          <w:p w14:paraId="0168C55C"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19,9</w:t>
            </w:r>
          </w:p>
        </w:tc>
        <w:tc>
          <w:tcPr>
            <w:tcW w:w="1060" w:type="dxa"/>
            <w:tcBorders>
              <w:top w:val="nil"/>
              <w:left w:val="nil"/>
              <w:bottom w:val="nil"/>
              <w:right w:val="nil"/>
            </w:tcBorders>
            <w:shd w:val="clear" w:color="auto" w:fill="auto"/>
            <w:noWrap/>
            <w:vAlign w:val="bottom"/>
            <w:hideMark/>
          </w:tcPr>
          <w:p w14:paraId="2B681804"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19,3</w:t>
            </w:r>
          </w:p>
        </w:tc>
        <w:tc>
          <w:tcPr>
            <w:tcW w:w="937" w:type="dxa"/>
            <w:tcBorders>
              <w:top w:val="nil"/>
              <w:left w:val="nil"/>
              <w:bottom w:val="nil"/>
              <w:right w:val="nil"/>
            </w:tcBorders>
            <w:shd w:val="clear" w:color="auto" w:fill="auto"/>
            <w:noWrap/>
            <w:vAlign w:val="bottom"/>
            <w:hideMark/>
          </w:tcPr>
          <w:p w14:paraId="536E10C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24,5</w:t>
            </w:r>
          </w:p>
        </w:tc>
        <w:tc>
          <w:tcPr>
            <w:tcW w:w="891" w:type="dxa"/>
            <w:tcBorders>
              <w:top w:val="nil"/>
              <w:left w:val="nil"/>
              <w:bottom w:val="nil"/>
              <w:right w:val="nil"/>
            </w:tcBorders>
            <w:shd w:val="clear" w:color="auto" w:fill="auto"/>
            <w:noWrap/>
            <w:vAlign w:val="bottom"/>
            <w:hideMark/>
          </w:tcPr>
          <w:p w14:paraId="40862733"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22,2</w:t>
            </w:r>
          </w:p>
        </w:tc>
        <w:tc>
          <w:tcPr>
            <w:tcW w:w="1134" w:type="dxa"/>
            <w:tcBorders>
              <w:top w:val="nil"/>
              <w:left w:val="nil"/>
              <w:bottom w:val="nil"/>
              <w:right w:val="nil"/>
            </w:tcBorders>
            <w:shd w:val="clear" w:color="auto" w:fill="auto"/>
            <w:noWrap/>
            <w:vAlign w:val="bottom"/>
            <w:hideMark/>
          </w:tcPr>
          <w:p w14:paraId="759AB893"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29,3</w:t>
            </w:r>
          </w:p>
        </w:tc>
      </w:tr>
      <w:tr w:rsidR="00743989" w:rsidRPr="003C3441" w14:paraId="679E3F02"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0045E590" w14:textId="77777777" w:rsidR="00743989" w:rsidRPr="003C3441" w:rsidRDefault="00743989" w:rsidP="003C3441">
            <w:pPr>
              <w:spacing w:after="0" w:line="240" w:lineRule="auto"/>
              <w:rPr>
                <w:rFonts w:ascii="Arial" w:hAnsi="Arial" w:cs="Arial"/>
                <w:b/>
                <w:color w:val="000000" w:themeColor="text1"/>
                <w:sz w:val="18"/>
                <w:szCs w:val="18"/>
              </w:rPr>
            </w:pPr>
            <w:r w:rsidRPr="003C3441">
              <w:rPr>
                <w:rFonts w:ascii="Arial" w:hAnsi="Arial" w:cs="Arial"/>
                <w:b/>
                <w:color w:val="000000" w:themeColor="text1"/>
                <w:sz w:val="18"/>
                <w:szCs w:val="18"/>
              </w:rPr>
              <w:t>Outras Rendas</w:t>
            </w:r>
          </w:p>
        </w:tc>
        <w:tc>
          <w:tcPr>
            <w:tcW w:w="852" w:type="dxa"/>
            <w:tcBorders>
              <w:top w:val="nil"/>
              <w:left w:val="nil"/>
              <w:bottom w:val="nil"/>
              <w:right w:val="nil"/>
            </w:tcBorders>
            <w:shd w:val="clear" w:color="auto" w:fill="auto"/>
            <w:noWrap/>
            <w:vAlign w:val="bottom"/>
            <w:hideMark/>
          </w:tcPr>
          <w:p w14:paraId="14847379"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1060" w:type="dxa"/>
            <w:tcBorders>
              <w:top w:val="nil"/>
              <w:left w:val="nil"/>
              <w:bottom w:val="nil"/>
              <w:right w:val="nil"/>
            </w:tcBorders>
            <w:shd w:val="clear" w:color="auto" w:fill="auto"/>
            <w:noWrap/>
            <w:vAlign w:val="bottom"/>
            <w:hideMark/>
          </w:tcPr>
          <w:p w14:paraId="384E983D"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937" w:type="dxa"/>
            <w:tcBorders>
              <w:top w:val="nil"/>
              <w:left w:val="nil"/>
              <w:bottom w:val="nil"/>
              <w:right w:val="nil"/>
            </w:tcBorders>
            <w:shd w:val="clear" w:color="auto" w:fill="auto"/>
            <w:noWrap/>
            <w:vAlign w:val="bottom"/>
            <w:hideMark/>
          </w:tcPr>
          <w:p w14:paraId="3A33359B"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891" w:type="dxa"/>
            <w:tcBorders>
              <w:top w:val="nil"/>
              <w:left w:val="nil"/>
              <w:bottom w:val="nil"/>
              <w:right w:val="nil"/>
            </w:tcBorders>
            <w:shd w:val="clear" w:color="auto" w:fill="auto"/>
            <w:noWrap/>
            <w:vAlign w:val="bottom"/>
            <w:hideMark/>
          </w:tcPr>
          <w:p w14:paraId="599C585E" w14:textId="77777777" w:rsidR="00743989" w:rsidRPr="003C3441" w:rsidRDefault="00743989" w:rsidP="003C3441">
            <w:pPr>
              <w:spacing w:after="0" w:line="240" w:lineRule="auto"/>
              <w:jc w:val="center"/>
              <w:rPr>
                <w:rFonts w:ascii="Arial" w:hAnsi="Arial" w:cs="Arial"/>
                <w:color w:val="000000" w:themeColor="text1"/>
                <w:sz w:val="18"/>
                <w:szCs w:val="18"/>
              </w:rPr>
            </w:pPr>
          </w:p>
        </w:tc>
        <w:tc>
          <w:tcPr>
            <w:tcW w:w="1134" w:type="dxa"/>
            <w:tcBorders>
              <w:top w:val="nil"/>
              <w:left w:val="nil"/>
              <w:bottom w:val="nil"/>
              <w:right w:val="nil"/>
            </w:tcBorders>
            <w:shd w:val="clear" w:color="auto" w:fill="auto"/>
            <w:noWrap/>
            <w:vAlign w:val="bottom"/>
            <w:hideMark/>
          </w:tcPr>
          <w:p w14:paraId="5DF6FEEA" w14:textId="77777777" w:rsidR="00743989" w:rsidRPr="003C3441" w:rsidRDefault="00743989" w:rsidP="003C3441">
            <w:pPr>
              <w:spacing w:after="0" w:line="240" w:lineRule="auto"/>
              <w:jc w:val="center"/>
              <w:rPr>
                <w:rFonts w:ascii="Arial" w:hAnsi="Arial" w:cs="Arial"/>
                <w:color w:val="000000" w:themeColor="text1"/>
                <w:sz w:val="18"/>
                <w:szCs w:val="18"/>
              </w:rPr>
            </w:pPr>
          </w:p>
        </w:tc>
      </w:tr>
      <w:tr w:rsidR="00743989" w:rsidRPr="003C3441" w14:paraId="430FD0AC"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3CE40E10"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BF</w:t>
            </w:r>
          </w:p>
        </w:tc>
        <w:tc>
          <w:tcPr>
            <w:tcW w:w="852" w:type="dxa"/>
            <w:tcBorders>
              <w:top w:val="nil"/>
              <w:left w:val="nil"/>
              <w:bottom w:val="nil"/>
              <w:right w:val="nil"/>
            </w:tcBorders>
            <w:shd w:val="clear" w:color="auto" w:fill="auto"/>
            <w:noWrap/>
            <w:vAlign w:val="bottom"/>
            <w:hideMark/>
          </w:tcPr>
          <w:p w14:paraId="13FC4997"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1,9</w:t>
            </w:r>
          </w:p>
        </w:tc>
        <w:tc>
          <w:tcPr>
            <w:tcW w:w="1060" w:type="dxa"/>
            <w:tcBorders>
              <w:top w:val="nil"/>
              <w:left w:val="nil"/>
              <w:bottom w:val="nil"/>
              <w:right w:val="nil"/>
            </w:tcBorders>
            <w:shd w:val="clear" w:color="auto" w:fill="auto"/>
            <w:noWrap/>
            <w:vAlign w:val="bottom"/>
            <w:hideMark/>
          </w:tcPr>
          <w:p w14:paraId="509FEE29"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2,8</w:t>
            </w:r>
          </w:p>
        </w:tc>
        <w:tc>
          <w:tcPr>
            <w:tcW w:w="937" w:type="dxa"/>
            <w:tcBorders>
              <w:top w:val="nil"/>
              <w:left w:val="nil"/>
              <w:bottom w:val="nil"/>
              <w:right w:val="nil"/>
            </w:tcBorders>
            <w:shd w:val="clear" w:color="auto" w:fill="auto"/>
            <w:noWrap/>
            <w:vAlign w:val="bottom"/>
            <w:hideMark/>
          </w:tcPr>
          <w:p w14:paraId="22807F9A"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0,5</w:t>
            </w:r>
          </w:p>
        </w:tc>
        <w:tc>
          <w:tcPr>
            <w:tcW w:w="891" w:type="dxa"/>
            <w:tcBorders>
              <w:top w:val="nil"/>
              <w:left w:val="nil"/>
              <w:bottom w:val="nil"/>
              <w:right w:val="nil"/>
            </w:tcBorders>
            <w:shd w:val="clear" w:color="auto" w:fill="auto"/>
            <w:noWrap/>
            <w:vAlign w:val="bottom"/>
            <w:hideMark/>
          </w:tcPr>
          <w:p w14:paraId="36ABEF38"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0,4</w:t>
            </w:r>
          </w:p>
        </w:tc>
        <w:tc>
          <w:tcPr>
            <w:tcW w:w="1134" w:type="dxa"/>
            <w:tcBorders>
              <w:top w:val="nil"/>
              <w:left w:val="nil"/>
              <w:bottom w:val="nil"/>
              <w:right w:val="nil"/>
            </w:tcBorders>
            <w:shd w:val="clear" w:color="auto" w:fill="auto"/>
            <w:noWrap/>
            <w:vAlign w:val="bottom"/>
            <w:hideMark/>
          </w:tcPr>
          <w:p w14:paraId="7D04FAA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0,6</w:t>
            </w:r>
          </w:p>
        </w:tc>
      </w:tr>
      <w:tr w:rsidR="00743989" w:rsidRPr="003C3441" w14:paraId="54EBC9FD"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50C53CC3"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BPC</w:t>
            </w:r>
          </w:p>
        </w:tc>
        <w:tc>
          <w:tcPr>
            <w:tcW w:w="852" w:type="dxa"/>
            <w:tcBorders>
              <w:top w:val="nil"/>
              <w:left w:val="nil"/>
              <w:bottom w:val="nil"/>
              <w:right w:val="nil"/>
            </w:tcBorders>
            <w:shd w:val="clear" w:color="auto" w:fill="auto"/>
            <w:noWrap/>
            <w:vAlign w:val="bottom"/>
            <w:hideMark/>
          </w:tcPr>
          <w:p w14:paraId="39B8DC5B"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w:t>
            </w:r>
          </w:p>
        </w:tc>
        <w:tc>
          <w:tcPr>
            <w:tcW w:w="1060" w:type="dxa"/>
            <w:tcBorders>
              <w:top w:val="nil"/>
              <w:left w:val="nil"/>
              <w:bottom w:val="nil"/>
              <w:right w:val="nil"/>
            </w:tcBorders>
            <w:shd w:val="clear" w:color="auto" w:fill="auto"/>
            <w:noWrap/>
            <w:vAlign w:val="bottom"/>
            <w:hideMark/>
          </w:tcPr>
          <w:p w14:paraId="03EA6EE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1,2</w:t>
            </w:r>
          </w:p>
        </w:tc>
        <w:tc>
          <w:tcPr>
            <w:tcW w:w="937" w:type="dxa"/>
            <w:tcBorders>
              <w:top w:val="nil"/>
              <w:left w:val="nil"/>
              <w:bottom w:val="nil"/>
              <w:right w:val="nil"/>
            </w:tcBorders>
            <w:shd w:val="clear" w:color="auto" w:fill="auto"/>
            <w:noWrap/>
            <w:vAlign w:val="bottom"/>
            <w:hideMark/>
          </w:tcPr>
          <w:p w14:paraId="53AD06E1"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0,4</w:t>
            </w:r>
          </w:p>
        </w:tc>
        <w:tc>
          <w:tcPr>
            <w:tcW w:w="891" w:type="dxa"/>
            <w:tcBorders>
              <w:top w:val="nil"/>
              <w:left w:val="nil"/>
              <w:bottom w:val="nil"/>
              <w:right w:val="nil"/>
            </w:tcBorders>
            <w:shd w:val="clear" w:color="auto" w:fill="auto"/>
            <w:noWrap/>
            <w:vAlign w:val="bottom"/>
            <w:hideMark/>
          </w:tcPr>
          <w:p w14:paraId="2FEDCEB7"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0,4</w:t>
            </w:r>
          </w:p>
        </w:tc>
        <w:tc>
          <w:tcPr>
            <w:tcW w:w="1134" w:type="dxa"/>
            <w:tcBorders>
              <w:top w:val="nil"/>
              <w:left w:val="nil"/>
              <w:bottom w:val="nil"/>
              <w:right w:val="nil"/>
            </w:tcBorders>
            <w:shd w:val="clear" w:color="auto" w:fill="auto"/>
            <w:noWrap/>
            <w:vAlign w:val="bottom"/>
            <w:hideMark/>
          </w:tcPr>
          <w:p w14:paraId="5120085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0,6</w:t>
            </w:r>
          </w:p>
        </w:tc>
      </w:tr>
      <w:tr w:rsidR="00743989" w:rsidRPr="003C3441" w14:paraId="6F60EF57"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74B0E272"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capital</w:t>
            </w:r>
          </w:p>
        </w:tc>
        <w:tc>
          <w:tcPr>
            <w:tcW w:w="852" w:type="dxa"/>
            <w:tcBorders>
              <w:top w:val="nil"/>
              <w:left w:val="nil"/>
              <w:bottom w:val="nil"/>
              <w:right w:val="nil"/>
            </w:tcBorders>
            <w:shd w:val="clear" w:color="auto" w:fill="auto"/>
            <w:noWrap/>
            <w:vAlign w:val="bottom"/>
            <w:hideMark/>
          </w:tcPr>
          <w:p w14:paraId="40EC331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0,7</w:t>
            </w:r>
          </w:p>
        </w:tc>
        <w:tc>
          <w:tcPr>
            <w:tcW w:w="1060" w:type="dxa"/>
            <w:tcBorders>
              <w:top w:val="nil"/>
              <w:left w:val="nil"/>
              <w:bottom w:val="nil"/>
              <w:right w:val="nil"/>
            </w:tcBorders>
            <w:shd w:val="clear" w:color="auto" w:fill="auto"/>
            <w:noWrap/>
            <w:vAlign w:val="bottom"/>
            <w:hideMark/>
          </w:tcPr>
          <w:p w14:paraId="406FCC32"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0,4</w:t>
            </w:r>
          </w:p>
        </w:tc>
        <w:tc>
          <w:tcPr>
            <w:tcW w:w="937" w:type="dxa"/>
            <w:tcBorders>
              <w:top w:val="nil"/>
              <w:left w:val="nil"/>
              <w:bottom w:val="nil"/>
              <w:right w:val="nil"/>
            </w:tcBorders>
            <w:shd w:val="clear" w:color="auto" w:fill="auto"/>
            <w:noWrap/>
            <w:vAlign w:val="bottom"/>
            <w:hideMark/>
          </w:tcPr>
          <w:p w14:paraId="1BF97CC6"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0,6</w:t>
            </w:r>
          </w:p>
        </w:tc>
        <w:tc>
          <w:tcPr>
            <w:tcW w:w="891" w:type="dxa"/>
            <w:tcBorders>
              <w:top w:val="nil"/>
              <w:left w:val="nil"/>
              <w:bottom w:val="nil"/>
              <w:right w:val="nil"/>
            </w:tcBorders>
            <w:shd w:val="clear" w:color="auto" w:fill="auto"/>
            <w:noWrap/>
            <w:vAlign w:val="bottom"/>
            <w:hideMark/>
          </w:tcPr>
          <w:p w14:paraId="4D346CE7"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0,6</w:t>
            </w:r>
          </w:p>
        </w:tc>
        <w:tc>
          <w:tcPr>
            <w:tcW w:w="1134" w:type="dxa"/>
            <w:tcBorders>
              <w:top w:val="nil"/>
              <w:left w:val="nil"/>
              <w:bottom w:val="nil"/>
              <w:right w:val="nil"/>
            </w:tcBorders>
            <w:shd w:val="clear" w:color="auto" w:fill="auto"/>
            <w:noWrap/>
            <w:vAlign w:val="bottom"/>
            <w:hideMark/>
          </w:tcPr>
          <w:p w14:paraId="6F42C3DD"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0,3</w:t>
            </w:r>
          </w:p>
        </w:tc>
      </w:tr>
      <w:tr w:rsidR="00743989" w:rsidRPr="003C3441" w14:paraId="6B3C5A65"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74CAD8C2"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Alugueis</w:t>
            </w:r>
          </w:p>
        </w:tc>
        <w:tc>
          <w:tcPr>
            <w:tcW w:w="852" w:type="dxa"/>
            <w:tcBorders>
              <w:top w:val="nil"/>
              <w:left w:val="nil"/>
              <w:bottom w:val="nil"/>
              <w:right w:val="nil"/>
            </w:tcBorders>
            <w:shd w:val="clear" w:color="auto" w:fill="auto"/>
            <w:noWrap/>
            <w:vAlign w:val="bottom"/>
            <w:hideMark/>
          </w:tcPr>
          <w:p w14:paraId="24EA89EE"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1,5</w:t>
            </w:r>
          </w:p>
        </w:tc>
        <w:tc>
          <w:tcPr>
            <w:tcW w:w="1060" w:type="dxa"/>
            <w:tcBorders>
              <w:top w:val="nil"/>
              <w:left w:val="nil"/>
              <w:bottom w:val="nil"/>
              <w:right w:val="nil"/>
            </w:tcBorders>
            <w:shd w:val="clear" w:color="auto" w:fill="auto"/>
            <w:noWrap/>
            <w:vAlign w:val="bottom"/>
            <w:hideMark/>
          </w:tcPr>
          <w:p w14:paraId="54BA484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1,2</w:t>
            </w:r>
          </w:p>
        </w:tc>
        <w:tc>
          <w:tcPr>
            <w:tcW w:w="937" w:type="dxa"/>
            <w:tcBorders>
              <w:top w:val="nil"/>
              <w:left w:val="nil"/>
              <w:bottom w:val="nil"/>
              <w:right w:val="nil"/>
            </w:tcBorders>
            <w:shd w:val="clear" w:color="auto" w:fill="auto"/>
            <w:noWrap/>
            <w:vAlign w:val="bottom"/>
            <w:hideMark/>
          </w:tcPr>
          <w:p w14:paraId="0972A27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1,5</w:t>
            </w:r>
          </w:p>
        </w:tc>
        <w:tc>
          <w:tcPr>
            <w:tcW w:w="891" w:type="dxa"/>
            <w:tcBorders>
              <w:top w:val="nil"/>
              <w:left w:val="nil"/>
              <w:bottom w:val="nil"/>
              <w:right w:val="nil"/>
            </w:tcBorders>
            <w:shd w:val="clear" w:color="auto" w:fill="auto"/>
            <w:noWrap/>
            <w:vAlign w:val="bottom"/>
            <w:hideMark/>
          </w:tcPr>
          <w:p w14:paraId="0DCF28DD"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1,5</w:t>
            </w:r>
          </w:p>
        </w:tc>
        <w:tc>
          <w:tcPr>
            <w:tcW w:w="1134" w:type="dxa"/>
            <w:tcBorders>
              <w:top w:val="nil"/>
              <w:left w:val="nil"/>
              <w:bottom w:val="nil"/>
              <w:right w:val="nil"/>
            </w:tcBorders>
            <w:shd w:val="clear" w:color="auto" w:fill="auto"/>
            <w:noWrap/>
            <w:vAlign w:val="bottom"/>
            <w:hideMark/>
          </w:tcPr>
          <w:p w14:paraId="5F5F6F44"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1,5</w:t>
            </w:r>
          </w:p>
        </w:tc>
      </w:tr>
      <w:tr w:rsidR="00743989" w:rsidRPr="003C3441" w14:paraId="7EAF601C" w14:textId="77777777" w:rsidTr="00ED6611">
        <w:trPr>
          <w:trHeight w:val="255"/>
          <w:jc w:val="center"/>
        </w:trPr>
        <w:tc>
          <w:tcPr>
            <w:tcW w:w="2140" w:type="dxa"/>
            <w:tcBorders>
              <w:top w:val="nil"/>
              <w:left w:val="nil"/>
              <w:bottom w:val="nil"/>
              <w:right w:val="single" w:sz="4" w:space="0" w:color="auto"/>
            </w:tcBorders>
            <w:shd w:val="clear" w:color="auto" w:fill="auto"/>
            <w:noWrap/>
            <w:vAlign w:val="center"/>
            <w:hideMark/>
          </w:tcPr>
          <w:p w14:paraId="0564B49B" w14:textId="77777777" w:rsidR="00743989" w:rsidRPr="003C3441" w:rsidRDefault="00743989" w:rsidP="003C3441">
            <w:pPr>
              <w:spacing w:after="0" w:line="240" w:lineRule="auto"/>
              <w:rPr>
                <w:rFonts w:ascii="Arial" w:hAnsi="Arial" w:cs="Arial"/>
                <w:color w:val="000000" w:themeColor="text1"/>
                <w:sz w:val="18"/>
                <w:szCs w:val="18"/>
              </w:rPr>
            </w:pPr>
            <w:r w:rsidRPr="003C3441">
              <w:rPr>
                <w:rFonts w:ascii="Arial" w:hAnsi="Arial" w:cs="Arial"/>
                <w:color w:val="000000" w:themeColor="text1"/>
                <w:sz w:val="18"/>
                <w:szCs w:val="18"/>
              </w:rPr>
              <w:t>Após. E Pensões</w:t>
            </w:r>
          </w:p>
        </w:tc>
        <w:tc>
          <w:tcPr>
            <w:tcW w:w="852" w:type="dxa"/>
            <w:tcBorders>
              <w:top w:val="nil"/>
              <w:left w:val="nil"/>
              <w:bottom w:val="nil"/>
              <w:right w:val="nil"/>
            </w:tcBorders>
            <w:shd w:val="clear" w:color="auto" w:fill="auto"/>
            <w:noWrap/>
            <w:vAlign w:val="bottom"/>
            <w:hideMark/>
          </w:tcPr>
          <w:p w14:paraId="03713E9B"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13,4</w:t>
            </w:r>
          </w:p>
        </w:tc>
        <w:tc>
          <w:tcPr>
            <w:tcW w:w="1060" w:type="dxa"/>
            <w:tcBorders>
              <w:top w:val="nil"/>
              <w:left w:val="nil"/>
              <w:bottom w:val="nil"/>
              <w:right w:val="nil"/>
            </w:tcBorders>
            <w:shd w:val="clear" w:color="auto" w:fill="auto"/>
            <w:noWrap/>
            <w:vAlign w:val="bottom"/>
            <w:hideMark/>
          </w:tcPr>
          <w:p w14:paraId="2A7B7ECD"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23,9</w:t>
            </w:r>
          </w:p>
        </w:tc>
        <w:tc>
          <w:tcPr>
            <w:tcW w:w="937" w:type="dxa"/>
            <w:tcBorders>
              <w:top w:val="nil"/>
              <w:left w:val="nil"/>
              <w:bottom w:val="nil"/>
              <w:right w:val="nil"/>
            </w:tcBorders>
            <w:shd w:val="clear" w:color="auto" w:fill="auto"/>
            <w:noWrap/>
            <w:vAlign w:val="bottom"/>
            <w:hideMark/>
          </w:tcPr>
          <w:p w14:paraId="5EBC44AE"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20,5</w:t>
            </w:r>
          </w:p>
        </w:tc>
        <w:tc>
          <w:tcPr>
            <w:tcW w:w="891" w:type="dxa"/>
            <w:tcBorders>
              <w:top w:val="nil"/>
              <w:left w:val="nil"/>
              <w:bottom w:val="nil"/>
              <w:right w:val="nil"/>
            </w:tcBorders>
            <w:shd w:val="clear" w:color="auto" w:fill="auto"/>
            <w:noWrap/>
            <w:vAlign w:val="bottom"/>
            <w:hideMark/>
          </w:tcPr>
          <w:p w14:paraId="77A3A89D"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19,5</w:t>
            </w:r>
          </w:p>
        </w:tc>
        <w:tc>
          <w:tcPr>
            <w:tcW w:w="1134" w:type="dxa"/>
            <w:tcBorders>
              <w:top w:val="nil"/>
              <w:left w:val="nil"/>
              <w:bottom w:val="nil"/>
              <w:right w:val="nil"/>
            </w:tcBorders>
            <w:shd w:val="clear" w:color="auto" w:fill="auto"/>
            <w:noWrap/>
            <w:vAlign w:val="bottom"/>
            <w:hideMark/>
          </w:tcPr>
          <w:p w14:paraId="5C88945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14,1</w:t>
            </w:r>
          </w:p>
        </w:tc>
      </w:tr>
      <w:tr w:rsidR="00743989" w:rsidRPr="003C3441" w14:paraId="5C868EC6" w14:textId="77777777" w:rsidTr="00ED6611">
        <w:trPr>
          <w:trHeight w:val="255"/>
          <w:jc w:val="center"/>
        </w:trPr>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29070D35" w14:textId="77777777" w:rsidR="00743989" w:rsidRPr="003C3441" w:rsidRDefault="00743989" w:rsidP="003C3441">
            <w:pPr>
              <w:spacing w:after="0" w:line="240" w:lineRule="auto"/>
              <w:rPr>
                <w:rFonts w:ascii="Arial" w:hAnsi="Arial" w:cs="Arial"/>
                <w:b/>
                <w:color w:val="000000" w:themeColor="text1"/>
                <w:sz w:val="18"/>
                <w:szCs w:val="18"/>
              </w:rPr>
            </w:pPr>
            <w:r w:rsidRPr="003C3441">
              <w:rPr>
                <w:rFonts w:ascii="Arial" w:hAnsi="Arial" w:cs="Arial"/>
                <w:b/>
                <w:color w:val="000000" w:themeColor="text1"/>
                <w:sz w:val="18"/>
                <w:szCs w:val="18"/>
              </w:rPr>
              <w:t>Total</w:t>
            </w:r>
          </w:p>
        </w:tc>
        <w:tc>
          <w:tcPr>
            <w:tcW w:w="852" w:type="dxa"/>
            <w:tcBorders>
              <w:top w:val="single" w:sz="4" w:space="0" w:color="auto"/>
              <w:left w:val="nil"/>
              <w:bottom w:val="single" w:sz="4" w:space="0" w:color="auto"/>
              <w:right w:val="nil"/>
            </w:tcBorders>
            <w:shd w:val="clear" w:color="auto" w:fill="auto"/>
            <w:noWrap/>
            <w:vAlign w:val="center"/>
            <w:hideMark/>
          </w:tcPr>
          <w:p w14:paraId="0E9267A0"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100,0</w:t>
            </w:r>
          </w:p>
        </w:tc>
        <w:tc>
          <w:tcPr>
            <w:tcW w:w="1060" w:type="dxa"/>
            <w:tcBorders>
              <w:top w:val="single" w:sz="4" w:space="0" w:color="auto"/>
              <w:left w:val="nil"/>
              <w:bottom w:val="single" w:sz="4" w:space="0" w:color="auto"/>
              <w:right w:val="nil"/>
            </w:tcBorders>
            <w:shd w:val="clear" w:color="auto" w:fill="auto"/>
            <w:noWrap/>
            <w:vAlign w:val="center"/>
            <w:hideMark/>
          </w:tcPr>
          <w:p w14:paraId="219E0F89"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100,0</w:t>
            </w:r>
          </w:p>
        </w:tc>
        <w:tc>
          <w:tcPr>
            <w:tcW w:w="937" w:type="dxa"/>
            <w:tcBorders>
              <w:top w:val="single" w:sz="4" w:space="0" w:color="auto"/>
              <w:left w:val="nil"/>
              <w:bottom w:val="single" w:sz="4" w:space="0" w:color="auto"/>
              <w:right w:val="nil"/>
            </w:tcBorders>
            <w:shd w:val="clear" w:color="auto" w:fill="auto"/>
            <w:noWrap/>
            <w:vAlign w:val="center"/>
            <w:hideMark/>
          </w:tcPr>
          <w:p w14:paraId="47C6CD44"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100,0</w:t>
            </w:r>
          </w:p>
        </w:tc>
        <w:tc>
          <w:tcPr>
            <w:tcW w:w="891" w:type="dxa"/>
            <w:tcBorders>
              <w:top w:val="single" w:sz="4" w:space="0" w:color="auto"/>
              <w:left w:val="nil"/>
              <w:bottom w:val="single" w:sz="4" w:space="0" w:color="auto"/>
              <w:right w:val="nil"/>
            </w:tcBorders>
            <w:shd w:val="clear" w:color="auto" w:fill="auto"/>
            <w:noWrap/>
            <w:vAlign w:val="center"/>
            <w:hideMark/>
          </w:tcPr>
          <w:p w14:paraId="30BD8305"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100,0</w:t>
            </w:r>
          </w:p>
        </w:tc>
        <w:tc>
          <w:tcPr>
            <w:tcW w:w="1134" w:type="dxa"/>
            <w:tcBorders>
              <w:top w:val="single" w:sz="4" w:space="0" w:color="auto"/>
              <w:left w:val="nil"/>
              <w:bottom w:val="single" w:sz="4" w:space="0" w:color="auto"/>
              <w:right w:val="nil"/>
            </w:tcBorders>
            <w:shd w:val="clear" w:color="auto" w:fill="auto"/>
            <w:noWrap/>
            <w:vAlign w:val="center"/>
            <w:hideMark/>
          </w:tcPr>
          <w:p w14:paraId="71581E12" w14:textId="77777777" w:rsidR="00743989" w:rsidRPr="003C3441" w:rsidRDefault="00743989" w:rsidP="003C3441">
            <w:pPr>
              <w:spacing w:after="0" w:line="240" w:lineRule="auto"/>
              <w:jc w:val="center"/>
              <w:rPr>
                <w:rFonts w:ascii="Arial" w:hAnsi="Arial" w:cs="Arial"/>
                <w:color w:val="000000" w:themeColor="text1"/>
                <w:sz w:val="18"/>
                <w:szCs w:val="18"/>
              </w:rPr>
            </w:pPr>
            <w:r w:rsidRPr="003C3441">
              <w:rPr>
                <w:rFonts w:ascii="Arial" w:hAnsi="Arial" w:cs="Arial"/>
                <w:color w:val="000000" w:themeColor="text1"/>
                <w:sz w:val="18"/>
                <w:szCs w:val="18"/>
              </w:rPr>
              <w:t>100,0</w:t>
            </w:r>
          </w:p>
        </w:tc>
      </w:tr>
    </w:tbl>
    <w:p w14:paraId="3120340C" w14:textId="77777777" w:rsidR="00743989" w:rsidRPr="00274ECC" w:rsidRDefault="00743989" w:rsidP="003C3441">
      <w:pPr>
        <w:spacing w:after="0" w:line="360" w:lineRule="auto"/>
        <w:ind w:firstLine="709"/>
        <w:rPr>
          <w:rFonts w:ascii="Times New Roman" w:hAnsi="Times New Roman" w:cs="Times New Roman"/>
          <w:color w:val="000000" w:themeColor="text1"/>
          <w:sz w:val="20"/>
          <w:szCs w:val="20"/>
        </w:rPr>
      </w:pPr>
      <w:r w:rsidRPr="00274ECC">
        <w:rPr>
          <w:rFonts w:ascii="Times New Roman" w:hAnsi="Times New Roman" w:cs="Times New Roman"/>
          <w:b/>
          <w:color w:val="000000" w:themeColor="text1"/>
          <w:sz w:val="20"/>
          <w:szCs w:val="20"/>
        </w:rPr>
        <w:t>Fonte</w:t>
      </w:r>
      <w:r w:rsidRPr="00274ECC">
        <w:rPr>
          <w:rFonts w:ascii="Times New Roman" w:hAnsi="Times New Roman" w:cs="Times New Roman"/>
          <w:color w:val="000000" w:themeColor="text1"/>
          <w:sz w:val="20"/>
          <w:szCs w:val="20"/>
        </w:rPr>
        <w:t>: Elaboração própria com base nos microdados da PNAD/IBGE.</w:t>
      </w:r>
    </w:p>
    <w:p w14:paraId="3B797C56"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3EA3D020" w14:textId="77777777" w:rsidR="00743989" w:rsidRDefault="00743989" w:rsidP="003C3441">
      <w:pPr>
        <w:spacing w:after="0" w:line="360" w:lineRule="auto"/>
        <w:ind w:firstLine="709"/>
        <w:jc w:val="both"/>
        <w:rPr>
          <w:rFonts w:ascii="Times New Roman" w:hAnsi="Times New Roman" w:cs="Times New Roman"/>
          <w:color w:val="000000" w:themeColor="text1"/>
          <w:sz w:val="24"/>
          <w:szCs w:val="24"/>
        </w:rPr>
      </w:pPr>
      <w:r w:rsidRPr="00274ECC">
        <w:rPr>
          <w:rFonts w:ascii="Times New Roman" w:hAnsi="Times New Roman" w:cs="Times New Roman"/>
          <w:color w:val="000000" w:themeColor="text1"/>
          <w:sz w:val="24"/>
          <w:szCs w:val="24"/>
        </w:rPr>
        <w:t xml:space="preserve">Três fontes de renda, além disto, merecem destaques. A primeira é a fonte de renda das pessoas mais escolarizadas. Enquanto na região Nordeste o peso desta fonte de renda era de 19,3%, na região Sul e na região Sudeste o peso desta fonte de renda foi de 22,2% e 24,5%, respectivamente. A segunda é a renda de Aposentadorias e Pensões, a qual apresentou resultados bastante dispares para as diferentes regiões. Enquanto a participação desta fonte de renda na renda total da região Norte era de 13,4%, na região Nordeste e Sudeste a participação foi de 23,9% e 20,5%, respectivamente. Por fim, é claramente evidenciada a maior importância das fontes de renda associadas aos programas sociais nas duas regiões mais pobres do país (Nordeste e Norte). No Nordeste, em particular, quase 3% da renda total dos domicílios está associada aos </w:t>
      </w:r>
      <w:r w:rsidRPr="00274ECC">
        <w:rPr>
          <w:rFonts w:ascii="Times New Roman" w:hAnsi="Times New Roman" w:cs="Times New Roman"/>
          <w:color w:val="000000" w:themeColor="text1"/>
          <w:sz w:val="24"/>
          <w:szCs w:val="24"/>
        </w:rPr>
        <w:lastRenderedPageBreak/>
        <w:t>recursos do Programa Bolsa Família, um percentual que só chegava a 0,4% na região Sul do país.</w:t>
      </w:r>
    </w:p>
    <w:p w14:paraId="5D67D115" w14:textId="77777777" w:rsidR="00743989" w:rsidRPr="00274ECC" w:rsidRDefault="00743989" w:rsidP="003C3441">
      <w:pPr>
        <w:spacing w:after="0" w:line="360" w:lineRule="auto"/>
        <w:ind w:firstLine="709"/>
        <w:jc w:val="both"/>
        <w:rPr>
          <w:rFonts w:ascii="Times New Roman" w:hAnsi="Times New Roman" w:cs="Times New Roman"/>
          <w:color w:val="000000" w:themeColor="text1"/>
          <w:sz w:val="24"/>
          <w:szCs w:val="24"/>
        </w:rPr>
      </w:pPr>
    </w:p>
    <w:p w14:paraId="3E0C91D6" w14:textId="77777777" w:rsidR="00ED6611" w:rsidRPr="00274ECC" w:rsidRDefault="00ED6611" w:rsidP="00ED6611">
      <w:pPr>
        <w:spacing w:after="0" w:line="360" w:lineRule="auto"/>
        <w:jc w:val="both"/>
        <w:rPr>
          <w:rFonts w:ascii="Times New Roman" w:hAnsi="Times New Roman" w:cs="Times New Roman"/>
          <w:b/>
          <w:color w:val="000000" w:themeColor="text1"/>
          <w:sz w:val="24"/>
          <w:szCs w:val="24"/>
        </w:rPr>
      </w:pPr>
      <w:r w:rsidRPr="00274ECC">
        <w:rPr>
          <w:rFonts w:ascii="Times New Roman" w:hAnsi="Times New Roman" w:cs="Times New Roman"/>
          <w:b/>
          <w:color w:val="000000" w:themeColor="text1"/>
          <w:sz w:val="24"/>
          <w:szCs w:val="24"/>
        </w:rPr>
        <w:t>4. A importância das diferentes fontes para evolução da desigualdade regional de renda no Brasil entre 1995 e 2011</w:t>
      </w:r>
    </w:p>
    <w:p w14:paraId="3E220087" w14:textId="77777777" w:rsidR="00743989" w:rsidRPr="00274ECC" w:rsidRDefault="00743989" w:rsidP="003C3441">
      <w:pPr>
        <w:spacing w:after="0" w:line="360" w:lineRule="auto"/>
        <w:ind w:left="360"/>
        <w:jc w:val="both"/>
        <w:rPr>
          <w:rFonts w:ascii="Times New Roman" w:hAnsi="Times New Roman" w:cs="Times New Roman"/>
          <w:color w:val="000000" w:themeColor="text1"/>
          <w:sz w:val="24"/>
          <w:szCs w:val="24"/>
        </w:rPr>
      </w:pPr>
    </w:p>
    <w:p w14:paraId="397B1ABA"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A estratégia a ser utilizada neste estudo para determinar a importância das diferentes fontes de renda na explicação dos níveis de desigualdade regional de renda </w:t>
      </w:r>
      <w:r w:rsidRPr="00445E18">
        <w:rPr>
          <w:rFonts w:ascii="Times New Roman" w:hAnsi="Times New Roman" w:cs="Times New Roman"/>
          <w:i/>
          <w:color w:val="000000" w:themeColor="text1"/>
          <w:sz w:val="24"/>
          <w:szCs w:val="24"/>
        </w:rPr>
        <w:t>per capita</w:t>
      </w:r>
      <w:r w:rsidRPr="00445E18">
        <w:rPr>
          <w:rFonts w:ascii="Times New Roman" w:hAnsi="Times New Roman" w:cs="Times New Roman"/>
          <w:color w:val="000000" w:themeColor="text1"/>
          <w:sz w:val="24"/>
          <w:szCs w:val="24"/>
        </w:rPr>
        <w:t xml:space="preserve"> e sua evolução tem como pedra fundamental o cálculo do Coeficiente de Concentração, que deriva da Curva de Lorenz generalizada, proposta por Fei, Ranis e Kuo (1979) e  Kakwani (1980). O cálculo deste coeficiente é bastante similar ao cálculo da Curva de Lorenz convencional</w:t>
      </w:r>
      <w:r w:rsidRPr="00445E18">
        <w:rPr>
          <w:rStyle w:val="FootnoteReference"/>
          <w:rFonts w:ascii="Times New Roman" w:hAnsi="Times New Roman" w:cs="Times New Roman"/>
          <w:color w:val="000000" w:themeColor="text1"/>
          <w:sz w:val="24"/>
          <w:szCs w:val="24"/>
        </w:rPr>
        <w:footnoteReference w:id="3"/>
      </w:r>
      <w:r w:rsidRPr="00445E18">
        <w:rPr>
          <w:rFonts w:ascii="Times New Roman" w:hAnsi="Times New Roman" w:cs="Times New Roman"/>
          <w:color w:val="000000" w:themeColor="text1"/>
          <w:sz w:val="24"/>
          <w:szCs w:val="24"/>
        </w:rPr>
        <w:t>.</w:t>
      </w:r>
    </w:p>
    <w:p w14:paraId="42BD29B0"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Neste sentido, seja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oMath>
      <w:r w:rsidRPr="00445E18">
        <w:rPr>
          <w:rFonts w:ascii="Times New Roman" w:eastAsiaTheme="minorEastAsia" w:hAnsi="Times New Roman" w:cs="Times New Roman"/>
          <w:color w:val="000000" w:themeColor="text1"/>
          <w:sz w:val="24"/>
          <w:szCs w:val="24"/>
        </w:rPr>
        <w:t xml:space="preserve"> o orçamento domiciliar per capita da i-ésima pessoa, com </w:t>
      </w:r>
      <w:r w:rsidRPr="00445E18">
        <w:rPr>
          <w:rFonts w:ascii="Times New Roman" w:eastAsiaTheme="minorEastAsia" w:hAnsi="Times New Roman" w:cs="Times New Roman"/>
          <w:i/>
          <w:color w:val="000000" w:themeColor="text1"/>
          <w:sz w:val="24"/>
          <w:szCs w:val="24"/>
        </w:rPr>
        <w:t>i = 1,..., n</w:t>
      </w:r>
      <w:r w:rsidRPr="00445E18">
        <w:rPr>
          <w:rFonts w:ascii="Times New Roman" w:eastAsiaTheme="minorEastAsia" w:hAnsi="Times New Roman" w:cs="Times New Roman"/>
          <w:color w:val="000000" w:themeColor="text1"/>
          <w:sz w:val="24"/>
          <w:szCs w:val="24"/>
        </w:rPr>
        <w:t xml:space="preserve">. Ordenando-se esses rendimentos em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&lt;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&lt;…&lt;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oMath>
      <w:r w:rsidRPr="00445E18">
        <w:rPr>
          <w:rFonts w:ascii="Times New Roman" w:eastAsiaTheme="minorEastAsia" w:hAnsi="Times New Roman" w:cs="Times New Roman"/>
          <w:color w:val="000000" w:themeColor="text1"/>
          <w:sz w:val="24"/>
          <w:szCs w:val="24"/>
        </w:rPr>
        <w:t xml:space="preserve">, é possível construir a curva de Lorenz, a qual mostra como a proporção acumulada da renda varia em função da proporção acumulada da população. Definindo </w:t>
      </w:r>
      <w:r w:rsidRPr="00445E18">
        <w:rPr>
          <w:rFonts w:ascii="Times New Roman" w:eastAsiaTheme="minorEastAsia" w:hAnsi="Times New Roman" w:cs="Times New Roman"/>
          <w:i/>
          <w:color w:val="000000" w:themeColor="text1"/>
          <w:sz w:val="24"/>
          <w:szCs w:val="24"/>
        </w:rPr>
        <w:t>β</w:t>
      </w:r>
      <w:r w:rsidRPr="00445E18">
        <w:rPr>
          <w:rFonts w:ascii="Times New Roman" w:eastAsiaTheme="minorEastAsia" w:hAnsi="Times New Roman" w:cs="Times New Roman"/>
          <w:color w:val="000000" w:themeColor="text1"/>
          <w:sz w:val="24"/>
          <w:szCs w:val="24"/>
        </w:rPr>
        <w:t xml:space="preserve"> como a área entre a Curva de Lorenz e o eixo das abscissas, sabemos que o índice de Gini (G) é dado por:</w:t>
      </w:r>
    </w:p>
    <w:p w14:paraId="6DF50FCA"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6D6BA3D4" w14:textId="77777777" w:rsidR="00743989" w:rsidRPr="00445E18" w:rsidRDefault="00743989" w:rsidP="003C3441">
      <w:pPr>
        <w:spacing w:after="0" w:line="360" w:lineRule="auto"/>
        <w:ind w:firstLine="709"/>
        <w:jc w:val="center"/>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G=1-2β</m:t>
        </m:r>
      </m:oMath>
      <w:r w:rsidRPr="00445E18">
        <w:rPr>
          <w:rFonts w:ascii="Times New Roman" w:eastAsiaTheme="minorEastAsia" w:hAnsi="Times New Roman" w:cs="Times New Roman"/>
          <w:color w:val="000000" w:themeColor="text1"/>
          <w:sz w:val="24"/>
          <w:szCs w:val="24"/>
        </w:rPr>
        <w:t xml:space="preserve"> , onde 0 &lt; G &lt; 1                                                                                     (1)</w:t>
      </w:r>
    </w:p>
    <w:p w14:paraId="5578E823" w14:textId="77777777" w:rsidR="00743989" w:rsidRPr="00445E18" w:rsidRDefault="00743989" w:rsidP="003C3441">
      <w:pPr>
        <w:tabs>
          <w:tab w:val="left" w:pos="6570"/>
        </w:tabs>
        <w:spacing w:after="0" w:line="360" w:lineRule="auto"/>
        <w:ind w:firstLine="709"/>
        <w:rPr>
          <w:rFonts w:ascii="Times New Roman" w:hAnsi="Times New Roman" w:cs="Times New Roman"/>
          <w:color w:val="000000" w:themeColor="text1"/>
          <w:sz w:val="24"/>
          <w:szCs w:val="24"/>
        </w:rPr>
      </w:pPr>
    </w:p>
    <w:p w14:paraId="1A6E64C1" w14:textId="77777777" w:rsidR="00743989" w:rsidRPr="00445E18" w:rsidRDefault="00743989" w:rsidP="003C3441">
      <w:pPr>
        <w:tabs>
          <w:tab w:val="left" w:pos="6570"/>
        </w:tabs>
        <w:spacing w:after="0" w:line="360" w:lineRule="auto"/>
        <w:ind w:firstLine="709"/>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Assumindo-se, agora, que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oMath>
      <w:r w:rsidRPr="00445E18">
        <w:rPr>
          <w:rFonts w:ascii="Times New Roman" w:eastAsiaTheme="minorEastAsia" w:hAnsi="Times New Roman" w:cs="Times New Roman"/>
          <w:color w:val="000000" w:themeColor="text1"/>
          <w:sz w:val="24"/>
          <w:szCs w:val="24"/>
        </w:rPr>
        <w:t xml:space="preserve"> é composta de </w:t>
      </w:r>
      <w:r w:rsidRPr="00445E18">
        <w:rPr>
          <w:rFonts w:ascii="Times New Roman" w:eastAsiaTheme="minorEastAsia" w:hAnsi="Times New Roman" w:cs="Times New Roman"/>
          <w:i/>
          <w:color w:val="000000" w:themeColor="text1"/>
          <w:sz w:val="24"/>
          <w:szCs w:val="24"/>
        </w:rPr>
        <w:t>k</w:t>
      </w:r>
      <w:r w:rsidRPr="00445E18">
        <w:rPr>
          <w:rFonts w:ascii="Times New Roman" w:eastAsiaTheme="minorEastAsia" w:hAnsi="Times New Roman" w:cs="Times New Roman"/>
          <w:color w:val="000000" w:themeColor="text1"/>
          <w:sz w:val="24"/>
          <w:szCs w:val="24"/>
        </w:rPr>
        <w:t xml:space="preserve"> parcelas:</w:t>
      </w:r>
    </w:p>
    <w:p w14:paraId="181BF205" w14:textId="77777777" w:rsidR="00743989" w:rsidRPr="00445E18" w:rsidRDefault="00743989" w:rsidP="003C3441">
      <w:pPr>
        <w:tabs>
          <w:tab w:val="left" w:pos="6570"/>
        </w:tabs>
        <w:spacing w:after="0" w:line="360" w:lineRule="auto"/>
        <w:ind w:firstLine="709"/>
        <w:rPr>
          <w:rFonts w:ascii="Times New Roman" w:eastAsiaTheme="minorEastAsia" w:hAnsi="Times New Roman" w:cs="Times New Roman"/>
          <w:color w:val="000000" w:themeColor="text1"/>
          <w:sz w:val="24"/>
          <w:szCs w:val="24"/>
        </w:rPr>
      </w:pPr>
    </w:p>
    <w:p w14:paraId="03205C3F" w14:textId="77777777" w:rsidR="00743989" w:rsidRPr="00445E18" w:rsidRDefault="005D7F30" w:rsidP="003C3441">
      <w:pPr>
        <w:spacing w:after="0" w:line="360" w:lineRule="auto"/>
        <w:ind w:firstLine="709"/>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r>
          <m:rPr>
            <m:sty m:val="p"/>
          </m:rP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hi</m:t>
                </m:r>
              </m:sub>
            </m:sSub>
          </m:e>
        </m:nary>
      </m:oMath>
      <w:r w:rsidR="00743989" w:rsidRPr="00445E18">
        <w:rPr>
          <w:rFonts w:ascii="Times New Roman" w:eastAsiaTheme="minorEastAsia" w:hAnsi="Times New Roman" w:cs="Times New Roman"/>
          <w:color w:val="000000" w:themeColor="text1"/>
          <w:sz w:val="24"/>
          <w:szCs w:val="24"/>
        </w:rPr>
        <w:t xml:space="preserve">                                                                                                              (2)</w:t>
      </w:r>
    </w:p>
    <w:p w14:paraId="0B7F99BB"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3939614B"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Onde cada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hi</m:t>
            </m:r>
          </m:sub>
        </m:sSub>
      </m:oMath>
      <w:r w:rsidRPr="00445E18">
        <w:rPr>
          <w:rFonts w:ascii="Times New Roman" w:eastAsiaTheme="minorEastAsia" w:hAnsi="Times New Roman" w:cs="Times New Roman"/>
          <w:color w:val="000000" w:themeColor="text1"/>
          <w:sz w:val="24"/>
          <w:szCs w:val="24"/>
        </w:rPr>
        <w:t xml:space="preserve"> será uma parcela da renda do trabalho associada à escolaridade ou uma parcela da renda não relacionada ao trabalho, as quais foram apresentadas na seção anterior.</w:t>
      </w:r>
    </w:p>
    <w:p w14:paraId="69565A38" w14:textId="77777777" w:rsidR="00743989" w:rsidRPr="00445E18" w:rsidRDefault="00743989" w:rsidP="003C3441">
      <w:pPr>
        <w:spacing w:after="0" w:line="360" w:lineRule="auto"/>
        <w:ind w:firstLine="708"/>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Mantida a ordenação da população pela renda per capita total tal como na Curva de Lorenz, pode-se construir as Curvas de Concentração de cada fonte de renda </w:t>
      </w:r>
      <w:r w:rsidRPr="00445E18">
        <w:rPr>
          <w:rFonts w:ascii="Times New Roman" w:eastAsiaTheme="minorEastAsia" w:hAnsi="Times New Roman" w:cs="Times New Roman"/>
          <w:color w:val="000000" w:themeColor="text1"/>
          <w:sz w:val="24"/>
          <w:szCs w:val="24"/>
        </w:rPr>
        <w:lastRenderedPageBreak/>
        <w:t xml:space="preserve">particular. A Curva de Concentração da parcela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hi</m:t>
            </m:r>
          </m:sub>
        </m:sSub>
      </m:oMath>
      <w:r w:rsidRPr="00445E18">
        <w:rPr>
          <w:rFonts w:ascii="Times New Roman" w:eastAsiaTheme="minorEastAsia" w:hAnsi="Times New Roman" w:cs="Times New Roman"/>
          <w:color w:val="000000" w:themeColor="text1"/>
          <w:sz w:val="24"/>
          <w:szCs w:val="24"/>
        </w:rPr>
        <w:t xml:space="preserve"> mostra como a proporção acumulada de cada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hi</m:t>
            </m:r>
          </m:sub>
        </m:sSub>
      </m:oMath>
      <w:r w:rsidRPr="00445E18">
        <w:rPr>
          <w:rFonts w:ascii="Times New Roman" w:eastAsiaTheme="minorEastAsia" w:hAnsi="Times New Roman" w:cs="Times New Roman"/>
          <w:color w:val="000000" w:themeColor="text1"/>
          <w:sz w:val="24"/>
          <w:szCs w:val="24"/>
        </w:rPr>
        <w:t xml:space="preserve"> varia em função da proporção acumulada da população.</w:t>
      </w:r>
    </w:p>
    <w:p w14:paraId="30CFFB0C"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Definindo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β</m:t>
            </m:r>
          </m:e>
          <m:sub>
            <m:r>
              <w:rPr>
                <w:rFonts w:ascii="Cambria Math" w:eastAsiaTheme="minorEastAsia" w:hAnsi="Cambria Math" w:cs="Times New Roman"/>
                <w:color w:val="000000" w:themeColor="text1"/>
                <w:sz w:val="24"/>
                <w:szCs w:val="24"/>
              </w:rPr>
              <m:t>h</m:t>
            </m:r>
          </m:sub>
        </m:sSub>
      </m:oMath>
      <w:r w:rsidRPr="00445E18">
        <w:rPr>
          <w:rFonts w:ascii="Times New Roman" w:eastAsiaTheme="minorEastAsia" w:hAnsi="Times New Roman" w:cs="Times New Roman"/>
          <w:color w:val="000000" w:themeColor="text1"/>
          <w:sz w:val="24"/>
          <w:szCs w:val="24"/>
        </w:rPr>
        <w:t xml:space="preserve"> como a área entre essa curva e o eixo das abscissas, é possível calcular o Coeficiente de Concentração da fonte de renda </w:t>
      </w:r>
      <w:r w:rsidRPr="00445E18">
        <w:rPr>
          <w:rFonts w:ascii="Times New Roman" w:eastAsiaTheme="minorEastAsia" w:hAnsi="Times New Roman" w:cs="Times New Roman"/>
          <w:i/>
          <w:color w:val="000000" w:themeColor="text1"/>
          <w:sz w:val="24"/>
          <w:szCs w:val="24"/>
        </w:rPr>
        <w:t>h</w:t>
      </w:r>
      <w:r w:rsidRPr="00445E18">
        <w:rPr>
          <w:rFonts w:ascii="Times New Roman" w:eastAsiaTheme="minorEastAsia" w:hAnsi="Times New Roman" w:cs="Times New Roman"/>
          <w:color w:val="000000" w:themeColor="text1"/>
          <w:sz w:val="24"/>
          <w:szCs w:val="24"/>
        </w:rPr>
        <w:t xml:space="preserve"> como:</w:t>
      </w:r>
    </w:p>
    <w:p w14:paraId="35DED9FF"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tbl>
      <w:tblPr>
        <w:tblW w:w="8613" w:type="dxa"/>
        <w:tblLook w:val="04A0" w:firstRow="1" w:lastRow="0" w:firstColumn="1" w:lastColumn="0" w:noHBand="0" w:noVBand="1"/>
      </w:tblPr>
      <w:tblGrid>
        <w:gridCol w:w="7621"/>
        <w:gridCol w:w="992"/>
      </w:tblGrid>
      <w:tr w:rsidR="00743989" w:rsidRPr="00445E18" w14:paraId="6A344A92" w14:textId="77777777" w:rsidTr="00ED6611">
        <w:tc>
          <w:tcPr>
            <w:tcW w:w="7621" w:type="dxa"/>
          </w:tcPr>
          <w:p w14:paraId="415DCEEC" w14:textId="77777777" w:rsidR="00743989" w:rsidRPr="00445E18" w:rsidRDefault="005D7F30" w:rsidP="003C3441">
            <w:pPr>
              <w:spacing w:after="0" w:line="360" w:lineRule="auto"/>
              <w:ind w:firstLine="709"/>
              <w:jc w:val="center"/>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=1-2β</m:t>
              </m:r>
            </m:oMath>
            <w:r w:rsidR="00743989" w:rsidRPr="00445E18">
              <w:rPr>
                <w:rFonts w:ascii="Times New Roman" w:eastAsiaTheme="minorEastAsia" w:hAnsi="Times New Roman" w:cs="Times New Roman"/>
                <w:color w:val="000000" w:themeColor="text1"/>
                <w:sz w:val="24"/>
                <w:szCs w:val="24"/>
              </w:rPr>
              <w:t xml:space="preserve">,      onde -1 &lt;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oMath>
            <w:r w:rsidR="00743989" w:rsidRPr="00445E18">
              <w:rPr>
                <w:rFonts w:ascii="Times New Roman" w:eastAsiaTheme="minorEastAsia" w:hAnsi="Times New Roman" w:cs="Times New Roman"/>
                <w:color w:val="000000" w:themeColor="text1"/>
                <w:sz w:val="24"/>
                <w:szCs w:val="24"/>
              </w:rPr>
              <w:t xml:space="preserve"> &lt; 1.</w:t>
            </w:r>
          </w:p>
        </w:tc>
        <w:tc>
          <w:tcPr>
            <w:tcW w:w="992" w:type="dxa"/>
          </w:tcPr>
          <w:p w14:paraId="46D811EB" w14:textId="77777777" w:rsidR="00743989" w:rsidRPr="00445E18" w:rsidRDefault="00743989" w:rsidP="003C3441">
            <w:pPr>
              <w:spacing w:after="0" w:line="360" w:lineRule="auto"/>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        (3)</w:t>
            </w:r>
          </w:p>
        </w:tc>
      </w:tr>
      <w:tr w:rsidR="00743989" w:rsidRPr="00445E18" w14:paraId="287E5443" w14:textId="77777777" w:rsidTr="00ED6611">
        <w:tc>
          <w:tcPr>
            <w:tcW w:w="7621" w:type="dxa"/>
          </w:tcPr>
          <w:p w14:paraId="731DB9F3" w14:textId="77777777" w:rsidR="00743989" w:rsidRPr="00445E18" w:rsidRDefault="00743989" w:rsidP="003C3441">
            <w:pPr>
              <w:spacing w:after="0" w:line="360" w:lineRule="auto"/>
              <w:ind w:firstLine="709"/>
              <w:jc w:val="center"/>
              <w:rPr>
                <w:rFonts w:ascii="Times New Roman" w:eastAsia="Times New Roman" w:hAnsi="Times New Roman" w:cs="Times New Roman"/>
                <w:color w:val="000000" w:themeColor="text1"/>
                <w:sz w:val="24"/>
                <w:szCs w:val="24"/>
              </w:rPr>
            </w:pPr>
          </w:p>
        </w:tc>
        <w:tc>
          <w:tcPr>
            <w:tcW w:w="992" w:type="dxa"/>
          </w:tcPr>
          <w:p w14:paraId="5673833B" w14:textId="77777777" w:rsidR="00743989" w:rsidRPr="00445E18" w:rsidRDefault="00743989" w:rsidP="003C3441">
            <w:pPr>
              <w:spacing w:after="0" w:line="360" w:lineRule="auto"/>
              <w:rPr>
                <w:rFonts w:ascii="Times New Roman" w:eastAsiaTheme="minorEastAsia" w:hAnsi="Times New Roman" w:cs="Times New Roman"/>
                <w:color w:val="000000" w:themeColor="text1"/>
                <w:sz w:val="24"/>
                <w:szCs w:val="24"/>
              </w:rPr>
            </w:pPr>
          </w:p>
        </w:tc>
      </w:tr>
    </w:tbl>
    <w:p w14:paraId="1173626A"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A partir da Equação (3) e definindo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h</m:t>
            </m:r>
          </m:sub>
        </m:sSub>
      </m:oMath>
      <w:r w:rsidRPr="00445E18">
        <w:rPr>
          <w:rFonts w:ascii="Times New Roman" w:eastAsiaTheme="minorEastAsia" w:hAnsi="Times New Roman" w:cs="Times New Roman"/>
          <w:color w:val="000000" w:themeColor="text1"/>
          <w:sz w:val="24"/>
          <w:szCs w:val="24"/>
        </w:rPr>
        <w:t xml:space="preserve"> como a participação da h-ésima parcela na renda total, Kakwani (1980) demonstra que o índice de Gini pode ser calculado como:</w:t>
      </w:r>
    </w:p>
    <w:tbl>
      <w:tblPr>
        <w:tblW w:w="8613" w:type="dxa"/>
        <w:tblLook w:val="04A0" w:firstRow="1" w:lastRow="0" w:firstColumn="1" w:lastColumn="0" w:noHBand="0" w:noVBand="1"/>
      </w:tblPr>
      <w:tblGrid>
        <w:gridCol w:w="7621"/>
        <w:gridCol w:w="992"/>
      </w:tblGrid>
      <w:tr w:rsidR="00743989" w:rsidRPr="00445E18" w14:paraId="5EC814E2" w14:textId="77777777" w:rsidTr="00ED6611">
        <w:tc>
          <w:tcPr>
            <w:tcW w:w="7621" w:type="dxa"/>
          </w:tcPr>
          <w:p w14:paraId="12932858"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G=</m:t>
                </m:r>
                <m:r>
                  <m:rPr>
                    <m:sty m:val="p"/>
                  </m:rP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h</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oMath>
            </m:oMathPara>
          </w:p>
        </w:tc>
        <w:tc>
          <w:tcPr>
            <w:tcW w:w="992" w:type="dxa"/>
            <w:vAlign w:val="center"/>
          </w:tcPr>
          <w:p w14:paraId="327F7569" w14:textId="77777777" w:rsidR="00743989" w:rsidRPr="00445E18" w:rsidRDefault="00743989" w:rsidP="003C3441">
            <w:pPr>
              <w:spacing w:after="0" w:line="360" w:lineRule="auto"/>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        (4)</w:t>
            </w:r>
          </w:p>
        </w:tc>
      </w:tr>
    </w:tbl>
    <w:p w14:paraId="3CD616D7"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Ou seja, o índice de Gini pode ser decomposto em </w:t>
      </w:r>
      <w:r w:rsidRPr="00445E18">
        <w:rPr>
          <w:rFonts w:ascii="Times New Roman" w:hAnsi="Times New Roman" w:cs="Times New Roman"/>
          <w:i/>
          <w:color w:val="000000" w:themeColor="text1"/>
          <w:sz w:val="24"/>
          <w:szCs w:val="24"/>
        </w:rPr>
        <w:t>k</w:t>
      </w:r>
      <w:r w:rsidRPr="00445E18">
        <w:rPr>
          <w:rFonts w:ascii="Times New Roman" w:hAnsi="Times New Roman" w:cs="Times New Roman"/>
          <w:color w:val="000000" w:themeColor="text1"/>
          <w:sz w:val="24"/>
          <w:szCs w:val="24"/>
        </w:rPr>
        <w:t xml:space="preserve"> parcelas do rendimento, sendo obtido a partir da soma ponderada dos Coeficientes de Concentração, onde os pesos correspondem às participações das respectivas fontes de renda.</w:t>
      </w:r>
    </w:p>
    <w:p w14:paraId="7C370FCB"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No gráfico 2 pode ser observado a evolução da participação de cada fonte de renda na renda </w:t>
      </w:r>
      <w:r w:rsidRPr="00445E18">
        <w:rPr>
          <w:rFonts w:ascii="Times New Roman" w:hAnsi="Times New Roman" w:cs="Times New Roman"/>
          <w:i/>
          <w:color w:val="000000" w:themeColor="text1"/>
          <w:sz w:val="24"/>
          <w:szCs w:val="24"/>
        </w:rPr>
        <w:t>per capita</w:t>
      </w:r>
      <w:r w:rsidRPr="00445E18">
        <w:rPr>
          <w:rFonts w:ascii="Times New Roman" w:hAnsi="Times New Roman" w:cs="Times New Roman"/>
          <w:color w:val="000000" w:themeColor="text1"/>
          <w:sz w:val="24"/>
          <w:szCs w:val="24"/>
        </w:rPr>
        <w:t xml:space="preserve"> total ao longo do tempo</w:t>
      </w:r>
      <w:r w:rsidRPr="00445E18">
        <w:rPr>
          <w:rStyle w:val="FootnoteReference"/>
          <w:rFonts w:ascii="Times New Roman" w:hAnsi="Times New Roman" w:cs="Times New Roman"/>
          <w:color w:val="000000" w:themeColor="text1"/>
          <w:sz w:val="24"/>
          <w:szCs w:val="24"/>
        </w:rPr>
        <w:footnoteReference w:id="4"/>
      </w:r>
      <w:r w:rsidRPr="00445E18">
        <w:rPr>
          <w:rFonts w:ascii="Times New Roman" w:hAnsi="Times New Roman" w:cs="Times New Roman"/>
          <w:color w:val="000000" w:themeColor="text1"/>
          <w:sz w:val="24"/>
          <w:szCs w:val="24"/>
        </w:rPr>
        <w:t>. Nota-se que a renda do trabalho das pessoas com menor nível de escolaridade (Escol1, Escol2, Escol3) tem representado uma parcela cada vez menor da renda total. Em 1995, as fontes de renda Escol1 e Escol2 representavam, respectivamente, 13,3% e 18,2% da renda total. Já em 2011, o percentual de cada uma destas fontes de renda foi reduzido, respectivamente, para 6,9% e 9,7% da renda total.</w:t>
      </w:r>
    </w:p>
    <w:p w14:paraId="6765C8D8"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Por outro lado, a parcela da renda do trabalho dos indivíduos com maior nível de escolaridade tem tido cada vez mais importância como parcela da renda per capital total. Enquanto em 1995 a fonte de renda Escol4 e a fonte de renda Escol5 representavam, 22,5% e 18,5% da renda total, em 2011 os pesos destas fontes de renda aumentaram para 27,6% e 23,9%, respectivamente. </w:t>
      </w:r>
    </w:p>
    <w:p w14:paraId="374DF278" w14:textId="77777777" w:rsidR="00743989" w:rsidRPr="00445E18" w:rsidRDefault="00743989" w:rsidP="00ED6611">
      <w:pPr>
        <w:spacing w:after="0" w:line="360" w:lineRule="auto"/>
        <w:jc w:val="both"/>
        <w:rPr>
          <w:rFonts w:ascii="Times New Roman" w:hAnsi="Times New Roman" w:cs="Times New Roman"/>
          <w:color w:val="000000" w:themeColor="text1"/>
          <w:sz w:val="24"/>
          <w:szCs w:val="24"/>
        </w:rPr>
      </w:pPr>
    </w:p>
    <w:p w14:paraId="445BB9F7" w14:textId="77777777" w:rsidR="00743989" w:rsidRPr="00445E18" w:rsidRDefault="00743989" w:rsidP="003C3441">
      <w:pPr>
        <w:spacing w:after="0" w:line="360" w:lineRule="auto"/>
        <w:jc w:val="both"/>
        <w:rPr>
          <w:rFonts w:ascii="Times New Roman" w:hAnsi="Times New Roman" w:cs="Times New Roman"/>
          <w:b/>
          <w:noProof/>
          <w:color w:val="000000" w:themeColor="text1"/>
          <w:sz w:val="24"/>
          <w:szCs w:val="24"/>
          <w:lang w:eastAsia="pt-BR"/>
        </w:rPr>
      </w:pPr>
      <w:r w:rsidRPr="00445E18">
        <w:rPr>
          <w:rFonts w:ascii="Times New Roman" w:hAnsi="Times New Roman" w:cs="Times New Roman"/>
          <w:b/>
          <w:color w:val="000000" w:themeColor="text1"/>
          <w:sz w:val="24"/>
          <w:szCs w:val="24"/>
        </w:rPr>
        <w:t xml:space="preserve"> Gráfico 2 - Evolução da participação das fontes de renda na renda total</w:t>
      </w:r>
    </w:p>
    <w:p w14:paraId="0DFA0071" w14:textId="77777777" w:rsidR="00743989" w:rsidRPr="00445E18" w:rsidRDefault="00743989" w:rsidP="003C3441">
      <w:pPr>
        <w:spacing w:after="0" w:line="360" w:lineRule="auto"/>
        <w:jc w:val="both"/>
        <w:rPr>
          <w:rFonts w:ascii="Times New Roman" w:hAnsi="Times New Roman" w:cs="Times New Roman"/>
          <w:noProof/>
          <w:color w:val="000000" w:themeColor="text1"/>
          <w:sz w:val="24"/>
          <w:szCs w:val="24"/>
          <w:lang w:eastAsia="pt-BR"/>
        </w:rPr>
      </w:pPr>
      <w:r w:rsidRPr="00445E18">
        <w:rPr>
          <w:rFonts w:ascii="Times New Roman" w:hAnsi="Times New Roman" w:cs="Times New Roman"/>
          <w:noProof/>
          <w:color w:val="000000" w:themeColor="text1"/>
          <w:sz w:val="24"/>
          <w:szCs w:val="24"/>
          <w:lang w:val="en-US"/>
        </w:rPr>
        <w:lastRenderedPageBreak/>
        <w:drawing>
          <wp:inline distT="0" distB="0" distL="0" distR="0" wp14:anchorId="2591B9B3" wp14:editId="628DD25B">
            <wp:extent cx="5555412" cy="3226280"/>
            <wp:effectExtent l="0" t="0" r="2667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EF9C02"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0"/>
          <w:szCs w:val="20"/>
        </w:rPr>
      </w:pPr>
      <w:r w:rsidRPr="00445E18">
        <w:rPr>
          <w:rFonts w:ascii="Times New Roman" w:hAnsi="Times New Roman" w:cs="Times New Roman"/>
          <w:b/>
          <w:color w:val="000000" w:themeColor="text1"/>
          <w:sz w:val="20"/>
          <w:szCs w:val="20"/>
        </w:rPr>
        <w:t>Fonte:</w:t>
      </w:r>
      <w:r w:rsidRPr="00445E18">
        <w:rPr>
          <w:rFonts w:ascii="Times New Roman" w:hAnsi="Times New Roman" w:cs="Times New Roman"/>
          <w:color w:val="000000" w:themeColor="text1"/>
          <w:sz w:val="20"/>
          <w:szCs w:val="20"/>
        </w:rPr>
        <w:t xml:space="preserve"> elaboração própria com base nos dados da PNAD/IBGE.</w:t>
      </w:r>
    </w:p>
    <w:p w14:paraId="4A8E289D" w14:textId="77777777" w:rsidR="00743989" w:rsidRPr="00445E18" w:rsidRDefault="00743989" w:rsidP="00ED6611">
      <w:pPr>
        <w:spacing w:after="0" w:line="360" w:lineRule="auto"/>
        <w:rPr>
          <w:rFonts w:ascii="Times New Roman" w:hAnsi="Times New Roman" w:cs="Times New Roman"/>
          <w:color w:val="000000" w:themeColor="text1"/>
          <w:sz w:val="20"/>
          <w:szCs w:val="20"/>
        </w:rPr>
      </w:pPr>
    </w:p>
    <w:p w14:paraId="4AB8E294" w14:textId="4D8F2AFD" w:rsidR="00743989" w:rsidRPr="00445E18" w:rsidRDefault="00ED6611"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N</w:t>
      </w:r>
      <w:r w:rsidR="00743989" w:rsidRPr="00445E18">
        <w:rPr>
          <w:rFonts w:ascii="Times New Roman" w:hAnsi="Times New Roman" w:cs="Times New Roman"/>
          <w:color w:val="000000" w:themeColor="text1"/>
          <w:sz w:val="24"/>
          <w:szCs w:val="24"/>
        </w:rPr>
        <w:t xml:space="preserve">as colunas (5) e (6) da tabela 3, apresentada a seguir, podem ser observados os valores das contribuições de cada fonte de renda para o calculo do índice de Gini em 1995 e em 2011. Os resultados indicam que o conjunto das fontes de renda do trabalho era responsável por 86,5% do índice de Gini calculado em 1995, e 84,3% em 2011. Por sua vez, as rendas dos indivíduos mais escolarizados (Escol4 e Escol5) eram responsáveis por 52,3% do índice de Gini calculado em 1995 e 66,4% em 2011. </w:t>
      </w:r>
    </w:p>
    <w:p w14:paraId="6635E293" w14:textId="0871029B" w:rsidR="00743989" w:rsidRPr="00445E18" w:rsidRDefault="00743989" w:rsidP="00ED6611">
      <w:pPr>
        <w:spacing w:after="0" w:line="360" w:lineRule="auto"/>
        <w:ind w:firstLine="708"/>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É possível estender a análise e obter as contribuições destas diferentes fontes de renda para a redução da desigualdade de renda observada entre estes dois anos a partir de diferentes decomposições do indicador de desigualdade de renda utilizado neste trabalho (índice de Gini). Mais especificamente, a partir do cálculo do Coeficiente de Concentração é possível obter a variação do índice de Gini entre dois períodos no tempo (Hoffmann, 2006) e, para cada fonte de renda, determinar sua contribuição para a variação observada no Gini.</w:t>
      </w:r>
    </w:p>
    <w:p w14:paraId="3C42183D"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Para tal, de início é necessário retomar a equação (4) e expressar a variação da desigualdade entre dois pontos no tempo como:</w:t>
      </w:r>
    </w:p>
    <w:p w14:paraId="4EA8B925"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39D3AA3E" w14:textId="6436B7B9"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 xml:space="preserve">          ∆G=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1</m:t>
                </m:r>
                <m:r>
                  <w:rPr>
                    <w:rFonts w:ascii="Cambria Math" w:eastAsiaTheme="minorEastAsia" w:hAnsi="Cambria Math" w:cs="Times New Roman"/>
                    <w:color w:val="000000" w:themeColor="text1"/>
                    <w:sz w:val="24"/>
                    <w:szCs w:val="24"/>
                  </w:rPr>
                  <m:t>h</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 xml:space="preserve">) </m:t>
        </m:r>
      </m:oMath>
      <w:r w:rsidR="00ED6611" w:rsidRPr="00445E18">
        <w:rPr>
          <w:rFonts w:ascii="Times New Roman" w:eastAsiaTheme="minorEastAsia" w:hAnsi="Times New Roman" w:cs="Times New Roman"/>
          <w:color w:val="000000" w:themeColor="text1"/>
          <w:sz w:val="24"/>
          <w:szCs w:val="24"/>
        </w:rPr>
        <w:t xml:space="preserve">                                          </w:t>
      </w:r>
      <w:r w:rsidRPr="00445E18">
        <w:rPr>
          <w:rFonts w:ascii="Times New Roman" w:eastAsiaTheme="minorEastAsia" w:hAnsi="Times New Roman" w:cs="Times New Roman"/>
          <w:color w:val="000000" w:themeColor="text1"/>
          <w:sz w:val="24"/>
          <w:szCs w:val="24"/>
        </w:rPr>
        <w:t>(5)</w:t>
      </w:r>
    </w:p>
    <w:p w14:paraId="0836D249"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3A2DF21E"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lastRenderedPageBreak/>
        <w:t>onde o “</w:t>
      </w:r>
      <w:r w:rsidRPr="00445E18">
        <w:rPr>
          <w:rFonts w:ascii="Times New Roman" w:hAnsi="Times New Roman" w:cs="Times New Roman"/>
          <w:color w:val="000000" w:themeColor="text1"/>
          <w:sz w:val="24"/>
          <w:szCs w:val="24"/>
        </w:rPr>
        <w:sym w:font="Symbol" w:char="F044"/>
      </w:r>
      <w:r w:rsidRPr="00445E18">
        <w:rPr>
          <w:rFonts w:ascii="Times New Roman" w:hAnsi="Times New Roman" w:cs="Times New Roman"/>
          <w:color w:val="000000" w:themeColor="text1"/>
          <w:sz w:val="24"/>
          <w:szCs w:val="24"/>
        </w:rPr>
        <w:t xml:space="preserve">” indica variação entre os dois períodos. A partir da soma e subtração do produto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1</m:t>
            </m:r>
            <m:r>
              <w:rPr>
                <w:rFonts w:ascii="Cambria Math" w:eastAsiaTheme="minorEastAsia" w:hAnsi="Cambria Math" w:cs="Times New Roman"/>
                <w:color w:val="000000" w:themeColor="text1"/>
                <w:sz w:val="24"/>
                <w:szCs w:val="24"/>
              </w:rPr>
              <m:t>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h</m:t>
            </m:r>
          </m:sub>
        </m:sSub>
      </m:oMath>
      <w:r w:rsidRPr="00445E18">
        <w:rPr>
          <w:rFonts w:ascii="Times New Roman" w:eastAsiaTheme="minorEastAsia" w:hAnsi="Times New Roman" w:cs="Times New Roman"/>
          <w:color w:val="000000" w:themeColor="text1"/>
          <w:sz w:val="24"/>
          <w:szCs w:val="24"/>
        </w:rPr>
        <w:t xml:space="preserve"> ou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2h</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rPr>
              <m:t>h</m:t>
            </m:r>
          </m:sub>
        </m:sSub>
      </m:oMath>
      <w:r w:rsidRPr="00445E18">
        <w:rPr>
          <w:rFonts w:ascii="Times New Roman" w:eastAsiaTheme="minorEastAsia" w:hAnsi="Times New Roman" w:cs="Times New Roman"/>
          <w:color w:val="000000" w:themeColor="text1"/>
          <w:sz w:val="24"/>
          <w:szCs w:val="24"/>
        </w:rPr>
        <w:t>, depois de uma fatoração do resultado, é possível obter:</w:t>
      </w:r>
    </w:p>
    <w:p w14:paraId="0FAE3A33"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p>
    <w:p w14:paraId="29FB6D14" w14:textId="1761A866" w:rsidR="00743989" w:rsidRPr="00445E18" w:rsidRDefault="00C0618A" w:rsidP="003C3441">
      <w:pPr>
        <w:spacing w:after="0" w:line="360" w:lineRule="auto"/>
        <w:ind w:firstLine="709"/>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 xml:space="preserve">       ∆G=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∆φ-φ</m:t>
                </m:r>
              </m:e>
              <m:sub>
                <m:r>
                  <w:rPr>
                    <w:rFonts w:ascii="Cambria Math" w:eastAsiaTheme="minorEastAsia" w:hAnsi="Cambria Math" w:cs="Times New Roman"/>
                    <w:color w:val="000000" w:themeColor="text1"/>
                    <w:sz w:val="24"/>
                    <w:szCs w:val="24"/>
                  </w:rPr>
                  <m:t>1</m:t>
                </m:r>
                <m:r>
                  <w:rPr>
                    <w:rFonts w:ascii="Cambria Math" w:eastAsiaTheme="minorEastAsia" w:hAnsi="Cambria Math" w:cs="Times New Roman"/>
                    <w:color w:val="000000" w:themeColor="text1"/>
                    <w:sz w:val="24"/>
                    <w:szCs w:val="24"/>
                  </w:rPr>
                  <m:t>h</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 xml:space="preserve">)   </m:t>
        </m:r>
      </m:oMath>
      <w:r w:rsidR="00743989" w:rsidRPr="00445E18">
        <w:rPr>
          <w:rFonts w:ascii="Times New Roman" w:eastAsiaTheme="minorEastAsia" w:hAnsi="Times New Roman" w:cs="Times New Roman"/>
          <w:color w:val="000000" w:themeColor="text1"/>
          <w:sz w:val="24"/>
          <w:szCs w:val="24"/>
        </w:rPr>
        <w:t xml:space="preserve">ou  </w:t>
      </w:r>
      <m:oMath>
        <m:r>
          <w:rPr>
            <w:rFonts w:ascii="Cambria Math" w:hAnsi="Cambria Math" w:cs="Times New Roman"/>
            <w:color w:val="000000" w:themeColor="text1"/>
            <w:sz w:val="24"/>
            <w:szCs w:val="24"/>
          </w:rPr>
          <m:t xml:space="preserve">∆G=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∆φ-φ</m:t>
                </m:r>
              </m:e>
              <m:sub>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rPr>
                  <m:t>h</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 xml:space="preserve">) </m:t>
        </m:r>
      </m:oMath>
      <w:r w:rsidRPr="00445E18">
        <w:rPr>
          <w:rFonts w:ascii="Times New Roman" w:eastAsiaTheme="minorEastAsia" w:hAnsi="Times New Roman" w:cs="Times New Roman"/>
          <w:color w:val="000000" w:themeColor="text1"/>
          <w:sz w:val="24"/>
          <w:szCs w:val="24"/>
        </w:rPr>
        <w:t xml:space="preserve">    </w:t>
      </w:r>
      <w:r w:rsidR="00743989" w:rsidRPr="00445E18">
        <w:rPr>
          <w:rFonts w:ascii="Times New Roman" w:eastAsiaTheme="minorEastAsia" w:hAnsi="Times New Roman" w:cs="Times New Roman"/>
          <w:color w:val="000000" w:themeColor="text1"/>
          <w:sz w:val="24"/>
          <w:szCs w:val="24"/>
        </w:rPr>
        <w:t>(6)</w:t>
      </w:r>
    </w:p>
    <w:p w14:paraId="2D9454BC"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2E837A2D"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Para se evitar a escolha entre uma destas formas de decompor G, utiliza-se a média aritmética das duas:</w:t>
      </w:r>
    </w:p>
    <w:p w14:paraId="04F2EDF0" w14:textId="6C22FC24"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 xml:space="preserve">∆G=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r>
              <w:rPr>
                <w:rFonts w:ascii="Cambria Math" w:eastAsiaTheme="minorEastAsia" w:hAnsi="Cambria Math" w:cs="Times New Roman"/>
                <w:color w:val="000000" w:themeColor="text1"/>
                <w:sz w:val="24"/>
                <w:szCs w:val="24"/>
              </w:rPr>
              <m:t>(</m:t>
            </m:r>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r>
              <w:rPr>
                <w:rFonts w:ascii="Cambria Math" w:eastAsiaTheme="minorEastAsia" w:hAnsi="Cambria Math" w:cs="Times New Roman"/>
                <w:color w:val="000000" w:themeColor="text1"/>
                <w:sz w:val="24"/>
                <w:szCs w:val="24"/>
              </w:rPr>
              <m:t>∆φ-</m:t>
            </m:r>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m:t>
        </m:r>
      </m:oMath>
      <w:r w:rsidRPr="00445E18">
        <w:rPr>
          <w:rFonts w:ascii="Times New Roman" w:eastAsiaTheme="minorEastAsia" w:hAnsi="Times New Roman" w:cs="Times New Roman"/>
          <w:color w:val="000000" w:themeColor="text1"/>
          <w:sz w:val="24"/>
          <w:szCs w:val="24"/>
        </w:rPr>
        <w:t xml:space="preserve">,                                              </w:t>
      </w:r>
      <w:r w:rsidR="00C0618A" w:rsidRPr="00445E18">
        <w:rPr>
          <w:rFonts w:ascii="Times New Roman" w:eastAsiaTheme="minorEastAsia" w:hAnsi="Times New Roman" w:cs="Times New Roman"/>
          <w:color w:val="000000" w:themeColor="text1"/>
          <w:sz w:val="24"/>
          <w:szCs w:val="24"/>
        </w:rPr>
        <w:t xml:space="preserve">                       </w:t>
      </w:r>
      <w:r w:rsidRPr="00445E18">
        <w:rPr>
          <w:rFonts w:ascii="Times New Roman" w:eastAsiaTheme="minorEastAsia" w:hAnsi="Times New Roman" w:cs="Times New Roman"/>
          <w:color w:val="000000" w:themeColor="text1"/>
          <w:sz w:val="24"/>
          <w:szCs w:val="24"/>
        </w:rPr>
        <w:t>(7)</w:t>
      </w:r>
    </w:p>
    <w:p w14:paraId="769EBEA4"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onde </w:t>
      </w:r>
      <m:oMath>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r>
          <w:rPr>
            <w:rFonts w:ascii="Cambria Math" w:eastAsiaTheme="minorEastAsia"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 xml:space="preserve">)/2 </m:t>
        </m:r>
      </m:oMath>
      <w:r w:rsidRPr="00445E18">
        <w:rPr>
          <w:rFonts w:ascii="Times New Roman" w:eastAsiaTheme="minorEastAsia" w:hAnsi="Times New Roman" w:cs="Times New Roman"/>
          <w:color w:val="000000" w:themeColor="text1"/>
          <w:sz w:val="24"/>
          <w:szCs w:val="24"/>
        </w:rPr>
        <w:t xml:space="preserve"> e  </w:t>
      </w:r>
      <m:oMath>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1</m:t>
            </m:r>
            <m:r>
              <w:rPr>
                <w:rFonts w:ascii="Cambria Math" w:eastAsiaTheme="minorEastAsia"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 xml:space="preserve">)/2 </m:t>
        </m:r>
      </m:oMath>
      <w:r w:rsidRPr="00445E18">
        <w:rPr>
          <w:rFonts w:ascii="Times New Roman" w:eastAsiaTheme="minorEastAsia" w:hAnsi="Times New Roman" w:cs="Times New Roman"/>
          <w:color w:val="000000" w:themeColor="text1"/>
          <w:sz w:val="24"/>
          <w:szCs w:val="24"/>
        </w:rPr>
        <w:t xml:space="preserve">. Note-se que, na Equação (7), tem-se a variação do índice de Gini entre dois períodos obtida pela variação nas participações </w:t>
      </w:r>
      <m:oMath>
        <m:r>
          <w:rPr>
            <w:rFonts w:ascii="Cambria Math" w:eastAsiaTheme="minorEastAsia" w:hAnsi="Cambria Math" w:cs="Times New Roman"/>
            <w:color w:val="000000" w:themeColor="text1"/>
            <w:sz w:val="24"/>
            <w:szCs w:val="24"/>
          </w:rPr>
          <m:t>(</m:t>
        </m:r>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r>
          <w:rPr>
            <w:rFonts w:ascii="Cambria Math" w:eastAsiaTheme="minorEastAsia" w:hAnsi="Cambria Math" w:cs="Times New Roman"/>
            <w:color w:val="000000" w:themeColor="text1"/>
            <w:sz w:val="24"/>
            <w:szCs w:val="24"/>
          </w:rPr>
          <m:t>∆φ)</m:t>
        </m:r>
      </m:oMath>
      <w:r w:rsidRPr="00445E18">
        <w:rPr>
          <w:rFonts w:ascii="Times New Roman" w:eastAsiaTheme="minorEastAsia" w:hAnsi="Times New Roman" w:cs="Times New Roman"/>
          <w:color w:val="000000" w:themeColor="text1"/>
          <w:sz w:val="24"/>
          <w:szCs w:val="24"/>
        </w:rPr>
        <w:t xml:space="preserve"> e pela variação no Coeficiente de Concentração </w:t>
      </w:r>
      <m:oMath>
        <m:sSub>
          <m:sSubPr>
            <m:ctrlPr>
              <w:rPr>
                <w:rFonts w:ascii="Cambria Math" w:hAnsi="Cambria Math" w:cs="Times New Roman"/>
                <w:i/>
                <w:color w:val="000000" w:themeColor="text1"/>
                <w:sz w:val="24"/>
                <w:szCs w:val="24"/>
              </w:rPr>
            </m:ctrlPr>
          </m:sSubPr>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(φ</m:t>
                </m:r>
              </m:e>
              <m:sup>
                <m:r>
                  <w:rPr>
                    <w:rFonts w:ascii="Cambria Math" w:eastAsiaTheme="minorEastAsia" w:hAnsi="Cambria Math" w:cs="Times New Roman"/>
                    <w:color w:val="000000" w:themeColor="text1"/>
                    <w:sz w:val="24"/>
                    <w:szCs w:val="24"/>
                  </w:rPr>
                  <m:t>*</m:t>
                </m:r>
              </m:sup>
            </m:sSup>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hAnsi="Cambria Math" w:cs="Times New Roman"/>
            <w:color w:val="000000" w:themeColor="text1"/>
            <w:sz w:val="24"/>
            <w:szCs w:val="24"/>
          </w:rPr>
          <m:t>)</m:t>
        </m:r>
      </m:oMath>
      <w:r w:rsidRPr="00445E18">
        <w:rPr>
          <w:rFonts w:ascii="Times New Roman" w:eastAsiaTheme="minorEastAsia" w:hAnsi="Times New Roman" w:cs="Times New Roman"/>
          <w:color w:val="000000" w:themeColor="text1"/>
          <w:sz w:val="24"/>
          <w:szCs w:val="24"/>
        </w:rPr>
        <w:t xml:space="preserve">. Finalmente, como </w:t>
      </w:r>
      <m:oMath>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rPr>
                  <m:t>h</m:t>
                </m:r>
              </m:sub>
            </m:sSub>
          </m:e>
        </m:nary>
        <m:r>
          <w:rPr>
            <w:rFonts w:ascii="Cambria Math" w:eastAsiaTheme="minorEastAsia" w:hAnsi="Cambria Math" w:cs="Times New Roman"/>
            <w:color w:val="000000" w:themeColor="text1"/>
            <w:sz w:val="24"/>
            <w:szCs w:val="24"/>
          </w:rPr>
          <m:t xml:space="preserve">- </m:t>
        </m:r>
        <m:nary>
          <m:naryPr>
            <m:chr m:val="∑"/>
            <m:limLoc m:val="undOvr"/>
            <m:subHide m:val="1"/>
            <m:supHide m:val="1"/>
            <m:ctrlPr>
              <w:rPr>
                <w:rFonts w:ascii="Cambria Math" w:eastAsiaTheme="minorEastAsia" w:hAnsi="Cambria Math" w:cs="Times New Roman"/>
                <w:i/>
                <w:color w:val="000000" w:themeColor="text1"/>
                <w:sz w:val="24"/>
                <w:szCs w:val="24"/>
              </w:rPr>
            </m:ctrlPr>
          </m:naryPr>
          <m:sub/>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1</m:t>
                </m:r>
                <m:r>
                  <w:rPr>
                    <w:rFonts w:ascii="Cambria Math" w:eastAsiaTheme="minorEastAsia" w:hAnsi="Cambria Math" w:cs="Times New Roman"/>
                    <w:color w:val="000000" w:themeColor="text1"/>
                    <w:sz w:val="24"/>
                    <w:szCs w:val="24"/>
                  </w:rPr>
                  <m:t>h</m:t>
                </m:r>
              </m:sub>
            </m:sSub>
          </m:e>
        </m:nary>
        <m:r>
          <w:rPr>
            <w:rFonts w:ascii="Cambria Math" w:eastAsiaTheme="minorEastAsia" w:hAnsi="Cambria Math" w:cs="Times New Roman"/>
            <w:color w:val="000000" w:themeColor="text1"/>
            <w:sz w:val="24"/>
            <w:szCs w:val="24"/>
          </w:rPr>
          <m:t>=0</m:t>
        </m:r>
      </m:oMath>
      <w:r w:rsidRPr="00445E18">
        <w:rPr>
          <w:rFonts w:ascii="Times New Roman" w:eastAsiaTheme="minorEastAsia" w:hAnsi="Times New Roman" w:cs="Times New Roman"/>
          <w:color w:val="000000" w:themeColor="text1"/>
          <w:sz w:val="24"/>
          <w:szCs w:val="24"/>
        </w:rPr>
        <w:t>, é possível fazer:</w:t>
      </w:r>
    </w:p>
    <w:p w14:paraId="43048B18"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2058F8C1" w14:textId="676595A6"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 xml:space="preserve">∆G=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h</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k</m:t>
            </m:r>
          </m:sup>
          <m:e>
            <m: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i/>
                    <w:color w:val="000000" w:themeColor="text1"/>
                    <w:sz w:val="24"/>
                    <w:szCs w:val="24"/>
                  </w:rPr>
                </m:ctrlPr>
              </m:dPr>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G</m:t>
                    </m:r>
                  </m:e>
                  <m:sup>
                    <m:r>
                      <w:rPr>
                        <w:rFonts w:ascii="Cambria Math" w:eastAsiaTheme="minorEastAsia" w:hAnsi="Cambria Math" w:cs="Times New Roman"/>
                        <w:color w:val="000000" w:themeColor="text1"/>
                        <w:sz w:val="24"/>
                        <w:szCs w:val="24"/>
                      </w:rPr>
                      <m:t>*</m:t>
                    </m:r>
                  </m:sup>
                </m:sSup>
              </m:e>
            </m:d>
            <m:r>
              <w:rPr>
                <w:rFonts w:ascii="Cambria Math" w:eastAsiaTheme="minorEastAsia" w:hAnsi="Cambria Math" w:cs="Times New Roman"/>
                <w:color w:val="000000" w:themeColor="text1"/>
                <w:sz w:val="24"/>
                <w:szCs w:val="24"/>
              </w:rPr>
              <m:t>∆φ+</m:t>
            </m:r>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φ</m:t>
                </m:r>
              </m:e>
              <m:sub>
                <m:r>
                  <w:rPr>
                    <w:rFonts w:ascii="Cambria Math" w:eastAsiaTheme="minorEastAsia" w:hAnsi="Cambria Math" w:cs="Times New Roman"/>
                    <w:color w:val="000000" w:themeColor="text1"/>
                    <w:sz w:val="24"/>
                    <w:szCs w:val="24"/>
                  </w:rPr>
                  <m:t>h</m:t>
                </m:r>
              </m:sub>
              <m:sup>
                <m:r>
                  <w:rPr>
                    <w:rFonts w:ascii="Cambria Math" w:eastAsiaTheme="minorEastAsia" w:hAnsi="Cambria Math" w:cs="Times New Roman"/>
                    <w:color w:val="000000" w:themeColor="text1"/>
                    <w:sz w:val="24"/>
                    <w:szCs w:val="24"/>
                  </w:rPr>
                  <m:t>*</m:t>
                </m:r>
              </m:sup>
            </m:sSubSup>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h</m:t>
            </m:r>
          </m:sub>
        </m:sSub>
        <m:r>
          <w:rPr>
            <w:rFonts w:ascii="Cambria Math" w:eastAsiaTheme="minorEastAsia" w:hAnsi="Cambria Math" w:cs="Times New Roman"/>
            <w:color w:val="000000" w:themeColor="text1"/>
            <w:sz w:val="24"/>
            <w:szCs w:val="24"/>
          </w:rPr>
          <m:t>]</m:t>
        </m:r>
      </m:oMath>
      <w:r w:rsidRPr="00445E18">
        <w:rPr>
          <w:rFonts w:ascii="Times New Roman" w:eastAsiaTheme="minorEastAsia" w:hAnsi="Times New Roman" w:cs="Times New Roman"/>
          <w:color w:val="000000" w:themeColor="text1"/>
          <w:sz w:val="24"/>
          <w:szCs w:val="24"/>
        </w:rPr>
        <w:t xml:space="preserve">                                         </w:t>
      </w:r>
      <w:r w:rsidR="00C0618A" w:rsidRPr="00445E18">
        <w:rPr>
          <w:rFonts w:ascii="Times New Roman" w:eastAsiaTheme="minorEastAsia" w:hAnsi="Times New Roman" w:cs="Times New Roman"/>
          <w:color w:val="000000" w:themeColor="text1"/>
          <w:sz w:val="24"/>
          <w:szCs w:val="24"/>
        </w:rPr>
        <w:t xml:space="preserve">                       </w:t>
      </w:r>
      <w:r w:rsidRPr="00445E18">
        <w:rPr>
          <w:rFonts w:ascii="Times New Roman" w:eastAsiaTheme="minorEastAsia" w:hAnsi="Times New Roman" w:cs="Times New Roman"/>
          <w:color w:val="000000" w:themeColor="text1"/>
          <w:sz w:val="24"/>
          <w:szCs w:val="24"/>
        </w:rPr>
        <w:t>(8)</w:t>
      </w:r>
    </w:p>
    <w:p w14:paraId="104BC036"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
    <w:p w14:paraId="45197EA8"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Onde</w:t>
      </w:r>
      <m:oMath>
        <m:r>
          <w:rPr>
            <w:rFonts w:ascii="Cambria Math" w:hAnsi="Cambria Math" w:cs="Times New Roman"/>
            <w:color w:val="000000" w:themeColor="text1"/>
            <w:sz w:val="24"/>
            <w:szCs w:val="24"/>
          </w:rPr>
          <m:t xml:space="preserve"> </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G</m:t>
            </m:r>
          </m:e>
          <m:sup>
            <m:r>
              <w:rPr>
                <w:rFonts w:ascii="Cambria Math" w:eastAsiaTheme="minorEastAsia" w:hAnsi="Cambria Math" w:cs="Times New Roman"/>
                <w:color w:val="000000" w:themeColor="text1"/>
                <w:sz w:val="24"/>
                <w:szCs w:val="24"/>
              </w:rPr>
              <m:t>*</m:t>
            </m:r>
          </m:sup>
        </m:sSup>
        <m:r>
          <w:rPr>
            <w:rFonts w:ascii="Cambria Math" w:eastAsiaTheme="minorEastAsia"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)/2 .</m:t>
        </m:r>
      </m:oMath>
      <w:r w:rsidRPr="00445E18">
        <w:rPr>
          <w:rFonts w:ascii="Times New Roman" w:eastAsiaTheme="minorEastAsia" w:hAnsi="Times New Roman" w:cs="Times New Roman"/>
          <w:color w:val="000000" w:themeColor="text1"/>
          <w:sz w:val="24"/>
          <w:szCs w:val="24"/>
        </w:rPr>
        <w:t xml:space="preserve"> </w:t>
      </w:r>
    </w:p>
    <w:p w14:paraId="7E1CBEDB" w14:textId="77777777" w:rsidR="00743989" w:rsidRPr="00445E18" w:rsidRDefault="00743989" w:rsidP="003C3441">
      <w:pPr>
        <w:spacing w:after="0" w:line="360" w:lineRule="auto"/>
        <w:ind w:firstLine="708"/>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A partir desta última equação, é possível definir o primeiro termo do lado direito como o </w:t>
      </w:r>
      <w:r w:rsidRPr="00445E18">
        <w:rPr>
          <w:rFonts w:ascii="Times New Roman" w:hAnsi="Times New Roman" w:cs="Times New Roman"/>
          <w:i/>
          <w:color w:val="000000" w:themeColor="text1"/>
          <w:sz w:val="24"/>
          <w:szCs w:val="24"/>
        </w:rPr>
        <w:t>Efeito Participação</w:t>
      </w:r>
      <w:r w:rsidRPr="00445E18">
        <w:rPr>
          <w:rFonts w:ascii="Times New Roman" w:hAnsi="Times New Roman" w:cs="Times New Roman"/>
          <w:color w:val="000000" w:themeColor="text1"/>
          <w:sz w:val="24"/>
          <w:szCs w:val="24"/>
        </w:rPr>
        <w:t xml:space="preserve">, o qual reflete o aumento ou a diminuição da importância (peso) de cada fonte de renda durante o período. Percebe-se que um aumento (diminuição) da participação de uma fonte de renda com concentração acima da desigualdade observada para a renda total irá causar um aumento (diminuição) da concentração resultante. Já o segundo termo do lado direito representa o </w:t>
      </w:r>
      <w:r w:rsidRPr="00445E18">
        <w:rPr>
          <w:rFonts w:ascii="Times New Roman" w:hAnsi="Times New Roman" w:cs="Times New Roman"/>
          <w:i/>
          <w:color w:val="000000" w:themeColor="text1"/>
          <w:sz w:val="24"/>
          <w:szCs w:val="24"/>
        </w:rPr>
        <w:t>Efeito Concentração</w:t>
      </w:r>
      <w:r w:rsidRPr="00445E18">
        <w:rPr>
          <w:rFonts w:ascii="Times New Roman" w:hAnsi="Times New Roman" w:cs="Times New Roman"/>
          <w:color w:val="000000" w:themeColor="text1"/>
          <w:sz w:val="24"/>
          <w:szCs w:val="24"/>
        </w:rPr>
        <w:t xml:space="preserve">, o qual indica quanto o Gini total muda em razão de uma mudança no padrão de concentração de uma fonte de renda. Na tabela 3, a seguir, são apresentados os resultados da decomposição do índice de Gini entre o </w:t>
      </w:r>
      <w:r w:rsidRPr="00445E18">
        <w:rPr>
          <w:rFonts w:ascii="Times New Roman" w:hAnsi="Times New Roman" w:cs="Times New Roman"/>
          <w:i/>
          <w:color w:val="000000" w:themeColor="text1"/>
          <w:sz w:val="24"/>
          <w:szCs w:val="24"/>
        </w:rPr>
        <w:t>Efeito Concentração</w:t>
      </w:r>
      <w:r w:rsidRPr="00445E18">
        <w:rPr>
          <w:rFonts w:ascii="Times New Roman" w:hAnsi="Times New Roman" w:cs="Times New Roman"/>
          <w:color w:val="000000" w:themeColor="text1"/>
          <w:sz w:val="24"/>
          <w:szCs w:val="24"/>
        </w:rPr>
        <w:t xml:space="preserve"> (EC) e o </w:t>
      </w:r>
      <w:r w:rsidRPr="00445E18">
        <w:rPr>
          <w:rFonts w:ascii="Times New Roman" w:hAnsi="Times New Roman" w:cs="Times New Roman"/>
          <w:i/>
          <w:color w:val="000000" w:themeColor="text1"/>
          <w:sz w:val="24"/>
          <w:szCs w:val="24"/>
        </w:rPr>
        <w:t>Efeito Participação</w:t>
      </w:r>
      <w:r w:rsidRPr="00445E18">
        <w:rPr>
          <w:rFonts w:ascii="Times New Roman" w:hAnsi="Times New Roman" w:cs="Times New Roman"/>
          <w:color w:val="000000" w:themeColor="text1"/>
          <w:sz w:val="24"/>
          <w:szCs w:val="24"/>
        </w:rPr>
        <w:t xml:space="preserve"> (EP), bem como o </w:t>
      </w:r>
      <w:r w:rsidRPr="00445E18">
        <w:rPr>
          <w:rFonts w:ascii="Times New Roman" w:hAnsi="Times New Roman" w:cs="Times New Roman"/>
          <w:i/>
          <w:color w:val="000000" w:themeColor="text1"/>
          <w:sz w:val="24"/>
          <w:szCs w:val="24"/>
        </w:rPr>
        <w:t>Efeito Total</w:t>
      </w:r>
      <w:r w:rsidRPr="00445E18">
        <w:rPr>
          <w:rFonts w:ascii="Times New Roman" w:hAnsi="Times New Roman" w:cs="Times New Roman"/>
          <w:color w:val="000000" w:themeColor="text1"/>
          <w:sz w:val="24"/>
          <w:szCs w:val="24"/>
        </w:rPr>
        <w:t xml:space="preserve"> (ET) de cada fonte de renda sobre a variação da desigualdade no período. </w:t>
      </w:r>
    </w:p>
    <w:p w14:paraId="2FD2D0DE"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Percebe-se, primeiramente, que, da redução de cerca de 6,5% do índice de Gini para desigualdade de renda </w:t>
      </w:r>
      <w:r w:rsidRPr="00445E18">
        <w:rPr>
          <w:rFonts w:ascii="Times New Roman" w:hAnsi="Times New Roman" w:cs="Times New Roman"/>
          <w:i/>
          <w:color w:val="000000" w:themeColor="text1"/>
          <w:sz w:val="24"/>
          <w:szCs w:val="24"/>
        </w:rPr>
        <w:t xml:space="preserve">per capita </w:t>
      </w:r>
      <w:r w:rsidRPr="00445E18">
        <w:rPr>
          <w:rFonts w:ascii="Times New Roman" w:hAnsi="Times New Roman" w:cs="Times New Roman"/>
          <w:color w:val="000000" w:themeColor="text1"/>
          <w:sz w:val="24"/>
          <w:szCs w:val="24"/>
        </w:rPr>
        <w:t xml:space="preserve">entre os estados brasileiros entre 1995 e 2011 (o índice vai de 0,201 a 0,197 no período), o </w:t>
      </w:r>
      <w:r w:rsidRPr="00445E18">
        <w:rPr>
          <w:rFonts w:ascii="Times New Roman" w:hAnsi="Times New Roman" w:cs="Times New Roman"/>
          <w:i/>
          <w:color w:val="000000" w:themeColor="text1"/>
          <w:sz w:val="24"/>
          <w:szCs w:val="24"/>
        </w:rPr>
        <w:t>Efeito Concentração</w:t>
      </w:r>
      <w:r w:rsidRPr="00445E18">
        <w:rPr>
          <w:rFonts w:ascii="Times New Roman" w:hAnsi="Times New Roman" w:cs="Times New Roman"/>
          <w:color w:val="000000" w:themeColor="text1"/>
          <w:sz w:val="24"/>
          <w:szCs w:val="24"/>
        </w:rPr>
        <w:t xml:space="preserve"> foi responsável por uma queda bem maior que aquela observada de fato para o índice (178,9% da variação do índice de Gini regional no período). Por outro lado, o </w:t>
      </w:r>
      <w:r w:rsidRPr="00445E18">
        <w:rPr>
          <w:rFonts w:ascii="Times New Roman" w:hAnsi="Times New Roman" w:cs="Times New Roman"/>
          <w:i/>
          <w:color w:val="000000" w:themeColor="text1"/>
          <w:sz w:val="24"/>
          <w:szCs w:val="24"/>
        </w:rPr>
        <w:t>Efeito Participação</w:t>
      </w:r>
      <w:r w:rsidRPr="00445E18">
        <w:rPr>
          <w:rFonts w:ascii="Times New Roman" w:hAnsi="Times New Roman" w:cs="Times New Roman"/>
          <w:color w:val="000000" w:themeColor="text1"/>
          <w:sz w:val="24"/>
          <w:szCs w:val="24"/>
        </w:rPr>
        <w:t xml:space="preserve"> contribuiu </w:t>
      </w:r>
      <w:r w:rsidRPr="00445E18">
        <w:rPr>
          <w:rFonts w:ascii="Times New Roman" w:hAnsi="Times New Roman" w:cs="Times New Roman"/>
          <w:color w:val="000000" w:themeColor="text1"/>
          <w:sz w:val="24"/>
          <w:szCs w:val="24"/>
        </w:rPr>
        <w:lastRenderedPageBreak/>
        <w:t>para um movimento de forma contrária: as mudanças nas participações das diferentes fontes de renda entre os dois anos implicaram um movimento de aumento do Gini correspondente a cerca de 78,9% do valor da variação observada para o índice. Este resultado, semelhante àquele obtido por Silveira Neto e Azzoni (2012), indica que a redução da desigualdade regional de renda no Brasil tem sido conduzida pelo modo como as distribuições das fontes de renda tem evoluído e não devido a alterações na participação de cada fonte na renda total.</w:t>
      </w:r>
    </w:p>
    <w:p w14:paraId="45A3B17C"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Na tabela 3, verifica-se também que a renda do trabalho e a renda dos programas sociais são as principais fontes de renda que contribuem para a redução do índice de Gini regional no período. Por outro lado, a fonte de renda das aposentadorias e pensões e aquela dos alugueis e outras fontes de renda apresentaram movimentos no sentido de elevar a desigualdade regional de renda. Mais especificamente, como um todo, a renda do trabalho foi responsável por um movimento de redução do índice de Gini de cerca de 47% da variação observada entre os anos de 1995 e 2011. </w:t>
      </w:r>
    </w:p>
    <w:p w14:paraId="33DCBDE9"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Entre as fontes de renda não vinculadas ao trabalho, destacam-se as fontes de renda associadas aos programas sociais de transferência de renda. Apesar de representarem menos de 2% da renda total em 2011 e serem inteiramente focadas nos indivíduos e não no território (</w:t>
      </w:r>
      <w:r w:rsidRPr="00445E18">
        <w:rPr>
          <w:rFonts w:ascii="Times New Roman" w:hAnsi="Times New Roman" w:cs="Times New Roman"/>
          <w:i/>
          <w:color w:val="000000" w:themeColor="text1"/>
          <w:sz w:val="24"/>
          <w:szCs w:val="24"/>
        </w:rPr>
        <w:t>spatial blind</w:t>
      </w:r>
      <w:r w:rsidRPr="00445E18">
        <w:rPr>
          <w:rFonts w:ascii="Times New Roman" w:hAnsi="Times New Roman" w:cs="Times New Roman"/>
          <w:color w:val="000000" w:themeColor="text1"/>
          <w:sz w:val="24"/>
          <w:szCs w:val="24"/>
        </w:rPr>
        <w:t>), as fontes de renda do BPC e, principalmente, BF contribuíram para um movimento de redução do índice de desigualdade equivalente a 63,9% da variação final observada para este índice. Na verdade, das fontes de renda não vinculadas ao trabalho, a renda do programa BF é aquela que apresenta o mais significativo movimento para variação (no caso, redução) da desigualdade regional: um movimento de cerca de 45% da redução observada no índice de Gini. No sentido oposto, a dinâmica de renda das aposentadorias e pensões indica um movimento de maior concentração regional desta fonte: tal dinâmica implicou movimento de elevação do Gini em cerca de 14,8% da variação observada.</w:t>
      </w:r>
    </w:p>
    <w:p w14:paraId="12782B18" w14:textId="56215A0A" w:rsidR="00C0618A"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Entre as fontes de renda associadas ao trabalho, é interessante observar que, </w:t>
      </w:r>
      <w:r w:rsidR="00BB40BE" w:rsidRPr="00445E18">
        <w:rPr>
          <w:rFonts w:ascii="Times New Roman" w:hAnsi="Times New Roman" w:cs="Times New Roman"/>
          <w:color w:val="000000" w:themeColor="text1"/>
          <w:sz w:val="24"/>
          <w:szCs w:val="24"/>
        </w:rPr>
        <w:t>entre as</w:t>
      </w:r>
      <w:r w:rsidRPr="00445E18">
        <w:rPr>
          <w:rFonts w:ascii="Times New Roman" w:hAnsi="Times New Roman" w:cs="Times New Roman"/>
          <w:color w:val="000000" w:themeColor="text1"/>
          <w:sz w:val="24"/>
          <w:szCs w:val="24"/>
        </w:rPr>
        <w:t xml:space="preserve"> cinco categorias de escolaridade, são exatamente para </w:t>
      </w:r>
      <w:r w:rsidR="00BB40BE" w:rsidRPr="00445E18">
        <w:rPr>
          <w:rFonts w:ascii="Times New Roman" w:hAnsi="Times New Roman" w:cs="Times New Roman"/>
          <w:color w:val="000000" w:themeColor="text1"/>
          <w:sz w:val="24"/>
          <w:szCs w:val="24"/>
        </w:rPr>
        <w:t>aquelas</w:t>
      </w:r>
      <w:r w:rsidRPr="00445E18">
        <w:rPr>
          <w:rFonts w:ascii="Times New Roman" w:hAnsi="Times New Roman" w:cs="Times New Roman"/>
          <w:color w:val="000000" w:themeColor="text1"/>
          <w:sz w:val="24"/>
          <w:szCs w:val="24"/>
        </w:rPr>
        <w:t xml:space="preserve"> de renda do trabalho dos menos escolarizados (Escol1) e dos mais escolarizados (Escol5) que se observam movimentos de renda no sentido de elevação da desigualdade regional de renda, ou seja, movimentos que impedem maior redução do índice de Gini entre 1995 e 2011. Note-se, em particular, que o movimento da renda do trabalho do grupo com </w:t>
      </w:r>
      <w:r w:rsidRPr="00445E18">
        <w:rPr>
          <w:rFonts w:ascii="Times New Roman" w:hAnsi="Times New Roman" w:cs="Times New Roman"/>
          <w:color w:val="000000" w:themeColor="text1"/>
          <w:sz w:val="24"/>
          <w:szCs w:val="24"/>
        </w:rPr>
        <w:lastRenderedPageBreak/>
        <w:t xml:space="preserve">ensino superior completo impede uma maior redução do índice de Gini, tanto porque tal fonte de renda fica mais concentrada nos estados mais ricos, quanto porque aumenta sua participação na renda per capita total, o que se reflete nos </w:t>
      </w:r>
      <w:r w:rsidRPr="00445E18">
        <w:rPr>
          <w:rFonts w:ascii="Times New Roman" w:hAnsi="Times New Roman" w:cs="Times New Roman"/>
          <w:i/>
          <w:color w:val="000000" w:themeColor="text1"/>
          <w:sz w:val="24"/>
          <w:szCs w:val="24"/>
        </w:rPr>
        <w:t xml:space="preserve">Efeitos Concentração </w:t>
      </w:r>
      <w:r w:rsidRPr="00445E18">
        <w:rPr>
          <w:rFonts w:ascii="Times New Roman" w:hAnsi="Times New Roman" w:cs="Times New Roman"/>
          <w:color w:val="000000" w:themeColor="text1"/>
          <w:sz w:val="24"/>
          <w:szCs w:val="24"/>
        </w:rPr>
        <w:t xml:space="preserve">e </w:t>
      </w:r>
      <w:r w:rsidRPr="00445E18">
        <w:rPr>
          <w:rFonts w:ascii="Times New Roman" w:hAnsi="Times New Roman" w:cs="Times New Roman"/>
          <w:i/>
          <w:color w:val="000000" w:themeColor="text1"/>
          <w:sz w:val="24"/>
          <w:szCs w:val="24"/>
        </w:rPr>
        <w:t>Participação</w:t>
      </w:r>
      <w:r w:rsidRPr="00445E18">
        <w:rPr>
          <w:rFonts w:ascii="Times New Roman" w:hAnsi="Times New Roman" w:cs="Times New Roman"/>
          <w:color w:val="000000" w:themeColor="text1"/>
          <w:sz w:val="24"/>
          <w:szCs w:val="24"/>
        </w:rPr>
        <w:t xml:space="preserve"> desta fonte de renda. Por seu turno, a dinâmica da fonte de renda daqueles que tem apenas o ensino fundamental incompleto impede uma maior queda do índice de Gini pelo fato desta fonte de renda apresentar redução em sua participação no período e apresentar nível de distribuição pró estados mais pobres (baixo valor para Coeficiente de Concentração). Em sentido oposto, percebe-se que, isoladamente, a fonte de renda que mais contribui para a redução da desigualdade regional brasileira entre 1995 e 2010 é a fonte de renda dos trabalhadores com ensino médio completo e ensino superior incompleto (Escol4) e, basicamente, porque tal fonte de renda torna-se regionalmente menos concentrada: tal fonte é responsável por um movimento de redução da desigualdade de cerca de 84,9% da redução do Gini observada entre 1995 e 2011.</w:t>
      </w:r>
      <w:r w:rsidR="00C0618A" w:rsidRPr="00445E18">
        <w:rPr>
          <w:rFonts w:ascii="Times New Roman" w:hAnsi="Times New Roman" w:cs="Times New Roman"/>
          <w:color w:val="000000" w:themeColor="text1"/>
          <w:sz w:val="24"/>
          <w:szCs w:val="24"/>
        </w:rPr>
        <w:t xml:space="preserve"> </w:t>
      </w:r>
    </w:p>
    <w:p w14:paraId="61A39D60" w14:textId="62DAE075" w:rsidR="00C0618A" w:rsidRPr="00445E18" w:rsidRDefault="00C0618A" w:rsidP="00C0618A">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Estes resultados indicam que, se por um lado, a redução dos desníveis se escolaridade entre os estados brasileiros contribuiu de forma decisiva através das ocupações e renda associados aos níveis intermediários de escolaridade, principalmente aquele do ensino médio, por outro, houve no período um movimento no sentido de maior concentração regional de renda associado ao nível mais alto de escolaridade (ensino superior). Este último movimento, por sua vez, </w:t>
      </w:r>
      <w:r w:rsidR="00061240" w:rsidRPr="00445E18">
        <w:rPr>
          <w:rFonts w:ascii="Times New Roman" w:hAnsi="Times New Roman" w:cs="Times New Roman"/>
          <w:color w:val="000000" w:themeColor="text1"/>
          <w:sz w:val="24"/>
          <w:szCs w:val="24"/>
        </w:rPr>
        <w:t>é consistente com a</w:t>
      </w:r>
      <w:r w:rsidRPr="00445E18">
        <w:rPr>
          <w:rFonts w:ascii="Times New Roman" w:hAnsi="Times New Roman" w:cs="Times New Roman"/>
          <w:color w:val="000000" w:themeColor="text1"/>
          <w:sz w:val="24"/>
          <w:szCs w:val="24"/>
        </w:rPr>
        <w:t xml:space="preserve"> elevação da concentração </w:t>
      </w:r>
      <w:r w:rsidR="00061240" w:rsidRPr="00445E18">
        <w:rPr>
          <w:rFonts w:ascii="Times New Roman" w:hAnsi="Times New Roman" w:cs="Times New Roman"/>
          <w:color w:val="000000" w:themeColor="text1"/>
          <w:sz w:val="24"/>
          <w:szCs w:val="24"/>
        </w:rPr>
        <w:t xml:space="preserve">regional </w:t>
      </w:r>
      <w:r w:rsidRPr="00445E18">
        <w:rPr>
          <w:rFonts w:ascii="Times New Roman" w:hAnsi="Times New Roman" w:cs="Times New Roman"/>
          <w:color w:val="000000" w:themeColor="text1"/>
          <w:sz w:val="24"/>
          <w:szCs w:val="24"/>
        </w:rPr>
        <w:t>de atividades principalmente ligadas ao setor de serviços especializados, como por exemplo, setor financeiro e aqueles ligados à tecnologia da informação.</w:t>
      </w:r>
    </w:p>
    <w:p w14:paraId="43A4D427"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sectPr w:rsidR="00743989" w:rsidRPr="00445E18" w:rsidSect="003C3441">
          <w:footerReference w:type="default" r:id="rId13"/>
          <w:pgSz w:w="11906" w:h="16838"/>
          <w:pgMar w:top="1701" w:right="1701" w:bottom="1701" w:left="1701" w:header="709" w:footer="709" w:gutter="0"/>
          <w:cols w:space="708"/>
          <w:docGrid w:linePitch="360"/>
        </w:sectPr>
      </w:pPr>
    </w:p>
    <w:p w14:paraId="256BB483" w14:textId="77777777" w:rsidR="00743989" w:rsidRPr="00445E18" w:rsidRDefault="00743989" w:rsidP="003C3441">
      <w:pPr>
        <w:spacing w:after="0" w:line="360" w:lineRule="auto"/>
        <w:ind w:firstLine="709"/>
        <w:jc w:val="both"/>
        <w:rPr>
          <w:rFonts w:ascii="Times New Roman" w:hAnsi="Times New Roman" w:cs="Times New Roman"/>
          <w:b/>
          <w:color w:val="000000" w:themeColor="text1"/>
          <w:sz w:val="24"/>
          <w:szCs w:val="24"/>
        </w:rPr>
      </w:pPr>
      <w:r w:rsidRPr="00445E18">
        <w:rPr>
          <w:rFonts w:ascii="Times New Roman" w:hAnsi="Times New Roman" w:cs="Times New Roman"/>
          <w:b/>
          <w:color w:val="000000" w:themeColor="text1"/>
          <w:sz w:val="24"/>
          <w:szCs w:val="24"/>
        </w:rPr>
        <w:lastRenderedPageBreak/>
        <w:t xml:space="preserve">Tabela 3 - Participações, Coeficientes de Concentração e contribuições das fontes de renda para níveis e variação da  </w:t>
      </w:r>
    </w:p>
    <w:p w14:paraId="2FF8BEFC" w14:textId="77777777" w:rsidR="00743989" w:rsidRPr="00445E18" w:rsidRDefault="00743989" w:rsidP="003C3441">
      <w:pPr>
        <w:spacing w:after="0" w:line="360" w:lineRule="auto"/>
        <w:ind w:firstLine="709"/>
        <w:jc w:val="both"/>
        <w:rPr>
          <w:rFonts w:ascii="Times New Roman" w:hAnsi="Times New Roman" w:cs="Times New Roman"/>
          <w:b/>
          <w:color w:val="000000" w:themeColor="text1"/>
          <w:sz w:val="24"/>
          <w:szCs w:val="24"/>
        </w:rPr>
      </w:pPr>
      <w:r w:rsidRPr="00445E18">
        <w:rPr>
          <w:rFonts w:ascii="Times New Roman" w:hAnsi="Times New Roman" w:cs="Times New Roman"/>
          <w:b/>
          <w:color w:val="000000" w:themeColor="text1"/>
          <w:sz w:val="24"/>
          <w:szCs w:val="24"/>
        </w:rPr>
        <w:t>desigualdade regional de renda no Brasil entre 1995 e 2011 - Desigualdade medida pelo índice de Gini</w:t>
      </w:r>
    </w:p>
    <w:tbl>
      <w:tblPr>
        <w:tblW w:w="12934" w:type="dxa"/>
        <w:jc w:val="center"/>
        <w:tblCellMar>
          <w:left w:w="70" w:type="dxa"/>
          <w:right w:w="70" w:type="dxa"/>
        </w:tblCellMar>
        <w:tblLook w:val="04A0" w:firstRow="1" w:lastRow="0" w:firstColumn="1" w:lastColumn="0" w:noHBand="0" w:noVBand="1"/>
      </w:tblPr>
      <w:tblGrid>
        <w:gridCol w:w="2138"/>
        <w:gridCol w:w="978"/>
        <w:gridCol w:w="1073"/>
        <w:gridCol w:w="1374"/>
        <w:gridCol w:w="1546"/>
        <w:gridCol w:w="1612"/>
        <w:gridCol w:w="1118"/>
        <w:gridCol w:w="1205"/>
        <w:gridCol w:w="913"/>
        <w:gridCol w:w="977"/>
      </w:tblGrid>
      <w:tr w:rsidR="00743989" w:rsidRPr="00445E18" w14:paraId="1EBCF6DA" w14:textId="77777777" w:rsidTr="00ED6611">
        <w:trPr>
          <w:trHeight w:val="397"/>
          <w:jc w:val="center"/>
        </w:trPr>
        <w:tc>
          <w:tcPr>
            <w:tcW w:w="2138" w:type="dxa"/>
            <w:vMerge w:val="restart"/>
            <w:tcBorders>
              <w:top w:val="single" w:sz="4" w:space="0" w:color="auto"/>
              <w:left w:val="nil"/>
              <w:right w:val="single" w:sz="4" w:space="0" w:color="auto"/>
            </w:tcBorders>
            <w:shd w:val="clear" w:color="auto" w:fill="auto"/>
            <w:noWrap/>
            <w:vAlign w:val="center"/>
            <w:hideMark/>
          </w:tcPr>
          <w:p w14:paraId="74C3A8A1"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Fontes de Renda</w:t>
            </w:r>
          </w:p>
        </w:tc>
        <w:tc>
          <w:tcPr>
            <w:tcW w:w="2051" w:type="dxa"/>
            <w:gridSpan w:val="2"/>
            <w:tcBorders>
              <w:top w:val="single" w:sz="4" w:space="0" w:color="auto"/>
              <w:left w:val="nil"/>
              <w:bottom w:val="nil"/>
              <w:right w:val="single" w:sz="4" w:space="0" w:color="000000"/>
            </w:tcBorders>
            <w:shd w:val="clear" w:color="auto" w:fill="auto"/>
            <w:noWrap/>
            <w:vAlign w:val="center"/>
            <w:hideMark/>
          </w:tcPr>
          <w:p w14:paraId="11291596"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Participação (%)</w:t>
            </w:r>
          </w:p>
        </w:tc>
        <w:tc>
          <w:tcPr>
            <w:tcW w:w="2920" w:type="dxa"/>
            <w:gridSpan w:val="2"/>
            <w:tcBorders>
              <w:top w:val="single" w:sz="4" w:space="0" w:color="auto"/>
              <w:left w:val="nil"/>
              <w:bottom w:val="nil"/>
              <w:right w:val="single" w:sz="4" w:space="0" w:color="000000"/>
            </w:tcBorders>
            <w:shd w:val="clear" w:color="auto" w:fill="auto"/>
            <w:noWrap/>
            <w:vAlign w:val="center"/>
            <w:hideMark/>
          </w:tcPr>
          <w:p w14:paraId="702DE0F3"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Coeficientes de Concentração</w:t>
            </w:r>
          </w:p>
        </w:tc>
        <w:tc>
          <w:tcPr>
            <w:tcW w:w="2730" w:type="dxa"/>
            <w:gridSpan w:val="2"/>
            <w:tcBorders>
              <w:top w:val="single" w:sz="4" w:space="0" w:color="auto"/>
              <w:left w:val="nil"/>
              <w:bottom w:val="nil"/>
              <w:right w:val="single" w:sz="4" w:space="0" w:color="000000"/>
            </w:tcBorders>
            <w:shd w:val="clear" w:color="auto" w:fill="auto"/>
            <w:noWrap/>
            <w:vAlign w:val="center"/>
            <w:hideMark/>
          </w:tcPr>
          <w:p w14:paraId="2B1BB2BB"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Contribuição para a desigualdade (%)</w:t>
            </w:r>
          </w:p>
        </w:tc>
        <w:tc>
          <w:tcPr>
            <w:tcW w:w="3095" w:type="dxa"/>
            <w:gridSpan w:val="3"/>
            <w:tcBorders>
              <w:top w:val="single" w:sz="4" w:space="0" w:color="auto"/>
              <w:left w:val="nil"/>
              <w:bottom w:val="nil"/>
              <w:right w:val="nil"/>
            </w:tcBorders>
            <w:shd w:val="clear" w:color="auto" w:fill="auto"/>
            <w:noWrap/>
            <w:vAlign w:val="center"/>
            <w:hideMark/>
          </w:tcPr>
          <w:p w14:paraId="60A46B80"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Decomposição (1995-2011) [%]</w:t>
            </w:r>
          </w:p>
        </w:tc>
      </w:tr>
      <w:tr w:rsidR="00743989" w:rsidRPr="00445E18" w14:paraId="468FF7A5" w14:textId="77777777" w:rsidTr="00ED6611">
        <w:trPr>
          <w:trHeight w:val="397"/>
          <w:jc w:val="center"/>
        </w:trPr>
        <w:tc>
          <w:tcPr>
            <w:tcW w:w="2138" w:type="dxa"/>
            <w:vMerge/>
            <w:tcBorders>
              <w:left w:val="nil"/>
              <w:right w:val="single" w:sz="4" w:space="0" w:color="auto"/>
            </w:tcBorders>
            <w:vAlign w:val="center"/>
            <w:hideMark/>
          </w:tcPr>
          <w:p w14:paraId="5256CB82"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p>
        </w:tc>
        <w:tc>
          <w:tcPr>
            <w:tcW w:w="978" w:type="dxa"/>
            <w:tcBorders>
              <w:top w:val="nil"/>
              <w:left w:val="nil"/>
              <w:bottom w:val="nil"/>
              <w:right w:val="nil"/>
            </w:tcBorders>
            <w:shd w:val="clear" w:color="auto" w:fill="auto"/>
            <w:noWrap/>
            <w:vAlign w:val="center"/>
            <w:hideMark/>
          </w:tcPr>
          <w:p w14:paraId="66CA0A8C"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1995</w:t>
            </w:r>
          </w:p>
        </w:tc>
        <w:tc>
          <w:tcPr>
            <w:tcW w:w="1073" w:type="dxa"/>
            <w:tcBorders>
              <w:top w:val="nil"/>
              <w:left w:val="nil"/>
              <w:bottom w:val="nil"/>
              <w:right w:val="nil"/>
            </w:tcBorders>
            <w:shd w:val="clear" w:color="auto" w:fill="auto"/>
            <w:noWrap/>
            <w:vAlign w:val="center"/>
            <w:hideMark/>
          </w:tcPr>
          <w:p w14:paraId="70039245"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2011</w:t>
            </w:r>
          </w:p>
        </w:tc>
        <w:tc>
          <w:tcPr>
            <w:tcW w:w="1374" w:type="dxa"/>
            <w:tcBorders>
              <w:top w:val="nil"/>
              <w:left w:val="single" w:sz="4" w:space="0" w:color="auto"/>
              <w:bottom w:val="nil"/>
              <w:right w:val="nil"/>
            </w:tcBorders>
            <w:shd w:val="clear" w:color="auto" w:fill="auto"/>
            <w:noWrap/>
            <w:vAlign w:val="center"/>
            <w:hideMark/>
          </w:tcPr>
          <w:p w14:paraId="540F531B"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1995</w:t>
            </w:r>
          </w:p>
        </w:tc>
        <w:tc>
          <w:tcPr>
            <w:tcW w:w="1546" w:type="dxa"/>
            <w:tcBorders>
              <w:top w:val="nil"/>
              <w:left w:val="nil"/>
              <w:bottom w:val="nil"/>
              <w:right w:val="single" w:sz="4" w:space="0" w:color="auto"/>
            </w:tcBorders>
            <w:shd w:val="clear" w:color="auto" w:fill="auto"/>
            <w:noWrap/>
            <w:vAlign w:val="center"/>
            <w:hideMark/>
          </w:tcPr>
          <w:p w14:paraId="6AF41E54"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2011</w:t>
            </w:r>
          </w:p>
        </w:tc>
        <w:tc>
          <w:tcPr>
            <w:tcW w:w="1612" w:type="dxa"/>
            <w:tcBorders>
              <w:top w:val="nil"/>
              <w:left w:val="nil"/>
              <w:bottom w:val="nil"/>
              <w:right w:val="nil"/>
            </w:tcBorders>
            <w:shd w:val="clear" w:color="auto" w:fill="auto"/>
            <w:noWrap/>
            <w:vAlign w:val="center"/>
            <w:hideMark/>
          </w:tcPr>
          <w:p w14:paraId="323C6F75"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1995</w:t>
            </w:r>
          </w:p>
        </w:tc>
        <w:tc>
          <w:tcPr>
            <w:tcW w:w="1118" w:type="dxa"/>
            <w:tcBorders>
              <w:top w:val="nil"/>
              <w:left w:val="nil"/>
              <w:bottom w:val="nil"/>
              <w:right w:val="single" w:sz="4" w:space="0" w:color="auto"/>
            </w:tcBorders>
            <w:shd w:val="clear" w:color="auto" w:fill="auto"/>
            <w:noWrap/>
            <w:vAlign w:val="center"/>
            <w:hideMark/>
          </w:tcPr>
          <w:p w14:paraId="538CA78E"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2011</w:t>
            </w:r>
          </w:p>
        </w:tc>
        <w:tc>
          <w:tcPr>
            <w:tcW w:w="1205" w:type="dxa"/>
            <w:tcBorders>
              <w:top w:val="nil"/>
              <w:left w:val="nil"/>
              <w:bottom w:val="nil"/>
              <w:right w:val="nil"/>
            </w:tcBorders>
            <w:shd w:val="clear" w:color="auto" w:fill="auto"/>
            <w:noWrap/>
            <w:vAlign w:val="center"/>
            <w:hideMark/>
          </w:tcPr>
          <w:p w14:paraId="5604DA6F"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EP</w:t>
            </w:r>
          </w:p>
        </w:tc>
        <w:tc>
          <w:tcPr>
            <w:tcW w:w="913" w:type="dxa"/>
            <w:tcBorders>
              <w:top w:val="nil"/>
              <w:left w:val="nil"/>
              <w:bottom w:val="nil"/>
              <w:right w:val="nil"/>
            </w:tcBorders>
            <w:shd w:val="clear" w:color="auto" w:fill="auto"/>
            <w:noWrap/>
            <w:vAlign w:val="center"/>
            <w:hideMark/>
          </w:tcPr>
          <w:p w14:paraId="133CCB1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EC</w:t>
            </w:r>
          </w:p>
        </w:tc>
        <w:tc>
          <w:tcPr>
            <w:tcW w:w="977" w:type="dxa"/>
            <w:tcBorders>
              <w:top w:val="nil"/>
              <w:left w:val="nil"/>
              <w:bottom w:val="nil"/>
              <w:right w:val="nil"/>
            </w:tcBorders>
            <w:shd w:val="clear" w:color="auto" w:fill="auto"/>
            <w:noWrap/>
            <w:vAlign w:val="center"/>
            <w:hideMark/>
          </w:tcPr>
          <w:p w14:paraId="1E47E103"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ET</w:t>
            </w:r>
          </w:p>
        </w:tc>
      </w:tr>
      <w:tr w:rsidR="00743989" w:rsidRPr="00445E18" w14:paraId="15CC4B7E" w14:textId="77777777" w:rsidTr="00ED6611">
        <w:trPr>
          <w:trHeight w:val="397"/>
          <w:jc w:val="center"/>
        </w:trPr>
        <w:tc>
          <w:tcPr>
            <w:tcW w:w="2138" w:type="dxa"/>
            <w:vMerge/>
            <w:tcBorders>
              <w:left w:val="nil"/>
              <w:bottom w:val="single" w:sz="4" w:space="0" w:color="000000"/>
              <w:right w:val="single" w:sz="4" w:space="0" w:color="auto"/>
            </w:tcBorders>
            <w:vAlign w:val="center"/>
          </w:tcPr>
          <w:p w14:paraId="1C1C60B1"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p>
        </w:tc>
        <w:tc>
          <w:tcPr>
            <w:tcW w:w="978" w:type="dxa"/>
            <w:tcBorders>
              <w:top w:val="nil"/>
              <w:left w:val="nil"/>
              <w:bottom w:val="nil"/>
              <w:right w:val="nil"/>
            </w:tcBorders>
            <w:shd w:val="clear" w:color="auto" w:fill="auto"/>
            <w:noWrap/>
            <w:vAlign w:val="center"/>
          </w:tcPr>
          <w:p w14:paraId="07B6216C"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w:t>
            </w:r>
          </w:p>
        </w:tc>
        <w:tc>
          <w:tcPr>
            <w:tcW w:w="1073" w:type="dxa"/>
            <w:tcBorders>
              <w:top w:val="nil"/>
              <w:left w:val="nil"/>
              <w:bottom w:val="nil"/>
              <w:right w:val="nil"/>
            </w:tcBorders>
            <w:shd w:val="clear" w:color="auto" w:fill="auto"/>
            <w:noWrap/>
            <w:vAlign w:val="center"/>
          </w:tcPr>
          <w:p w14:paraId="712CEBC5"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w:t>
            </w:r>
          </w:p>
        </w:tc>
        <w:tc>
          <w:tcPr>
            <w:tcW w:w="1374" w:type="dxa"/>
            <w:tcBorders>
              <w:top w:val="nil"/>
              <w:left w:val="single" w:sz="4" w:space="0" w:color="auto"/>
              <w:bottom w:val="nil"/>
              <w:right w:val="nil"/>
            </w:tcBorders>
            <w:shd w:val="clear" w:color="auto" w:fill="auto"/>
            <w:noWrap/>
            <w:vAlign w:val="center"/>
          </w:tcPr>
          <w:p w14:paraId="635DE5F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(3)</w:t>
            </w:r>
          </w:p>
        </w:tc>
        <w:tc>
          <w:tcPr>
            <w:tcW w:w="1546" w:type="dxa"/>
            <w:tcBorders>
              <w:top w:val="nil"/>
              <w:left w:val="nil"/>
              <w:bottom w:val="nil"/>
              <w:right w:val="single" w:sz="4" w:space="0" w:color="auto"/>
            </w:tcBorders>
            <w:shd w:val="clear" w:color="auto" w:fill="auto"/>
            <w:noWrap/>
            <w:vAlign w:val="center"/>
          </w:tcPr>
          <w:p w14:paraId="244C293F"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(4)</w:t>
            </w:r>
          </w:p>
        </w:tc>
        <w:tc>
          <w:tcPr>
            <w:tcW w:w="1612" w:type="dxa"/>
            <w:tcBorders>
              <w:top w:val="nil"/>
              <w:left w:val="nil"/>
              <w:bottom w:val="nil"/>
              <w:right w:val="nil"/>
            </w:tcBorders>
            <w:shd w:val="clear" w:color="auto" w:fill="auto"/>
            <w:noWrap/>
            <w:vAlign w:val="center"/>
          </w:tcPr>
          <w:p w14:paraId="18D71AAC"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(5)</w:t>
            </w:r>
          </w:p>
        </w:tc>
        <w:tc>
          <w:tcPr>
            <w:tcW w:w="1118" w:type="dxa"/>
            <w:tcBorders>
              <w:top w:val="nil"/>
              <w:left w:val="nil"/>
              <w:bottom w:val="nil"/>
              <w:right w:val="single" w:sz="4" w:space="0" w:color="auto"/>
            </w:tcBorders>
            <w:shd w:val="clear" w:color="auto" w:fill="auto"/>
            <w:noWrap/>
            <w:vAlign w:val="center"/>
          </w:tcPr>
          <w:p w14:paraId="0F270896"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(6)</w:t>
            </w:r>
          </w:p>
        </w:tc>
        <w:tc>
          <w:tcPr>
            <w:tcW w:w="1205" w:type="dxa"/>
            <w:tcBorders>
              <w:top w:val="nil"/>
              <w:left w:val="nil"/>
              <w:bottom w:val="nil"/>
              <w:right w:val="nil"/>
            </w:tcBorders>
            <w:shd w:val="clear" w:color="auto" w:fill="auto"/>
            <w:noWrap/>
            <w:vAlign w:val="center"/>
          </w:tcPr>
          <w:p w14:paraId="67811CA2"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(7)</w:t>
            </w:r>
          </w:p>
        </w:tc>
        <w:tc>
          <w:tcPr>
            <w:tcW w:w="913" w:type="dxa"/>
            <w:tcBorders>
              <w:top w:val="nil"/>
              <w:left w:val="nil"/>
              <w:bottom w:val="nil"/>
              <w:right w:val="nil"/>
            </w:tcBorders>
            <w:shd w:val="clear" w:color="auto" w:fill="auto"/>
            <w:noWrap/>
            <w:vAlign w:val="center"/>
          </w:tcPr>
          <w:p w14:paraId="5F347141"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(8)</w:t>
            </w:r>
          </w:p>
        </w:tc>
        <w:tc>
          <w:tcPr>
            <w:tcW w:w="977" w:type="dxa"/>
            <w:tcBorders>
              <w:top w:val="nil"/>
              <w:left w:val="nil"/>
              <w:bottom w:val="nil"/>
              <w:right w:val="nil"/>
            </w:tcBorders>
            <w:shd w:val="clear" w:color="auto" w:fill="auto"/>
            <w:noWrap/>
            <w:vAlign w:val="center"/>
          </w:tcPr>
          <w:p w14:paraId="79E9B4DC"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(9)</w:t>
            </w:r>
          </w:p>
        </w:tc>
      </w:tr>
      <w:tr w:rsidR="00743989" w:rsidRPr="00445E18" w14:paraId="36F79BC4"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5978E615"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Trabalho</w:t>
            </w:r>
          </w:p>
        </w:tc>
        <w:tc>
          <w:tcPr>
            <w:tcW w:w="978" w:type="dxa"/>
            <w:tcBorders>
              <w:top w:val="single" w:sz="4" w:space="0" w:color="auto"/>
              <w:left w:val="nil"/>
              <w:bottom w:val="nil"/>
              <w:right w:val="nil"/>
            </w:tcBorders>
            <w:shd w:val="clear" w:color="auto" w:fill="auto"/>
            <w:noWrap/>
            <w:vAlign w:val="center"/>
            <w:hideMark/>
          </w:tcPr>
          <w:p w14:paraId="0E1F8E2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073" w:type="dxa"/>
            <w:tcBorders>
              <w:top w:val="single" w:sz="4" w:space="0" w:color="auto"/>
              <w:left w:val="nil"/>
              <w:bottom w:val="nil"/>
              <w:right w:val="nil"/>
            </w:tcBorders>
            <w:shd w:val="clear" w:color="auto" w:fill="auto"/>
            <w:noWrap/>
            <w:vAlign w:val="center"/>
            <w:hideMark/>
          </w:tcPr>
          <w:p w14:paraId="6B9CE51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374" w:type="dxa"/>
            <w:tcBorders>
              <w:top w:val="single" w:sz="4" w:space="0" w:color="auto"/>
              <w:left w:val="single" w:sz="4" w:space="0" w:color="auto"/>
              <w:bottom w:val="nil"/>
              <w:right w:val="nil"/>
            </w:tcBorders>
            <w:shd w:val="clear" w:color="auto" w:fill="auto"/>
            <w:noWrap/>
            <w:vAlign w:val="center"/>
            <w:hideMark/>
          </w:tcPr>
          <w:p w14:paraId="7D0DF11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546" w:type="dxa"/>
            <w:tcBorders>
              <w:top w:val="single" w:sz="4" w:space="0" w:color="auto"/>
              <w:left w:val="nil"/>
              <w:bottom w:val="nil"/>
              <w:right w:val="single" w:sz="4" w:space="0" w:color="auto"/>
            </w:tcBorders>
            <w:shd w:val="clear" w:color="auto" w:fill="auto"/>
            <w:noWrap/>
            <w:vAlign w:val="center"/>
            <w:hideMark/>
          </w:tcPr>
          <w:p w14:paraId="1AE790E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612" w:type="dxa"/>
            <w:tcBorders>
              <w:top w:val="single" w:sz="4" w:space="0" w:color="auto"/>
              <w:left w:val="nil"/>
              <w:bottom w:val="nil"/>
              <w:right w:val="nil"/>
            </w:tcBorders>
            <w:shd w:val="clear" w:color="auto" w:fill="auto"/>
            <w:noWrap/>
            <w:vAlign w:val="center"/>
            <w:hideMark/>
          </w:tcPr>
          <w:p w14:paraId="40AF67C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118" w:type="dxa"/>
            <w:tcBorders>
              <w:top w:val="single" w:sz="4" w:space="0" w:color="auto"/>
              <w:left w:val="nil"/>
              <w:bottom w:val="nil"/>
              <w:right w:val="single" w:sz="4" w:space="0" w:color="auto"/>
            </w:tcBorders>
            <w:shd w:val="clear" w:color="auto" w:fill="auto"/>
            <w:noWrap/>
            <w:vAlign w:val="center"/>
            <w:hideMark/>
          </w:tcPr>
          <w:p w14:paraId="242E1AE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205" w:type="dxa"/>
            <w:tcBorders>
              <w:top w:val="single" w:sz="4" w:space="0" w:color="auto"/>
              <w:left w:val="nil"/>
              <w:bottom w:val="nil"/>
              <w:right w:val="nil"/>
            </w:tcBorders>
            <w:shd w:val="clear" w:color="auto" w:fill="auto"/>
            <w:noWrap/>
            <w:vAlign w:val="center"/>
            <w:hideMark/>
          </w:tcPr>
          <w:p w14:paraId="17CB24A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13" w:type="dxa"/>
            <w:tcBorders>
              <w:top w:val="single" w:sz="4" w:space="0" w:color="auto"/>
              <w:left w:val="nil"/>
              <w:bottom w:val="nil"/>
              <w:right w:val="nil"/>
            </w:tcBorders>
            <w:shd w:val="clear" w:color="auto" w:fill="auto"/>
            <w:noWrap/>
            <w:vAlign w:val="center"/>
            <w:hideMark/>
          </w:tcPr>
          <w:p w14:paraId="6749E37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77" w:type="dxa"/>
            <w:tcBorders>
              <w:top w:val="single" w:sz="4" w:space="0" w:color="auto"/>
              <w:left w:val="nil"/>
              <w:bottom w:val="nil"/>
              <w:right w:val="nil"/>
            </w:tcBorders>
            <w:shd w:val="clear" w:color="auto" w:fill="auto"/>
            <w:noWrap/>
            <w:vAlign w:val="center"/>
            <w:hideMark/>
          </w:tcPr>
          <w:p w14:paraId="18A96E4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r>
      <w:tr w:rsidR="00743989" w:rsidRPr="00445E18" w14:paraId="372E5CEB"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541F741C"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Escol1</w:t>
            </w:r>
          </w:p>
        </w:tc>
        <w:tc>
          <w:tcPr>
            <w:tcW w:w="978" w:type="dxa"/>
            <w:tcBorders>
              <w:top w:val="nil"/>
              <w:left w:val="nil"/>
              <w:bottom w:val="nil"/>
              <w:right w:val="nil"/>
            </w:tcBorders>
            <w:shd w:val="clear" w:color="auto" w:fill="auto"/>
            <w:noWrap/>
            <w:vAlign w:val="center"/>
            <w:hideMark/>
          </w:tcPr>
          <w:p w14:paraId="55B6421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13,36</w:t>
            </w:r>
          </w:p>
        </w:tc>
        <w:tc>
          <w:tcPr>
            <w:tcW w:w="1073" w:type="dxa"/>
            <w:tcBorders>
              <w:top w:val="nil"/>
              <w:left w:val="nil"/>
              <w:bottom w:val="nil"/>
              <w:right w:val="nil"/>
            </w:tcBorders>
            <w:shd w:val="clear" w:color="auto" w:fill="auto"/>
            <w:noWrap/>
            <w:vAlign w:val="center"/>
            <w:hideMark/>
          </w:tcPr>
          <w:p w14:paraId="4C11759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6,93</w:t>
            </w:r>
          </w:p>
        </w:tc>
        <w:tc>
          <w:tcPr>
            <w:tcW w:w="1374" w:type="dxa"/>
            <w:tcBorders>
              <w:top w:val="nil"/>
              <w:left w:val="single" w:sz="4" w:space="0" w:color="auto"/>
              <w:bottom w:val="nil"/>
              <w:right w:val="nil"/>
            </w:tcBorders>
            <w:shd w:val="clear" w:color="auto" w:fill="auto"/>
            <w:noWrap/>
            <w:vAlign w:val="center"/>
            <w:hideMark/>
          </w:tcPr>
          <w:p w14:paraId="54D925E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0,025</w:t>
            </w:r>
          </w:p>
        </w:tc>
        <w:tc>
          <w:tcPr>
            <w:tcW w:w="1546" w:type="dxa"/>
            <w:tcBorders>
              <w:top w:val="nil"/>
              <w:left w:val="nil"/>
              <w:bottom w:val="nil"/>
              <w:right w:val="single" w:sz="4" w:space="0" w:color="auto"/>
            </w:tcBorders>
            <w:shd w:val="clear" w:color="auto" w:fill="auto"/>
            <w:noWrap/>
            <w:vAlign w:val="center"/>
            <w:hideMark/>
          </w:tcPr>
          <w:p w14:paraId="298F048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0,003</w:t>
            </w:r>
          </w:p>
        </w:tc>
        <w:tc>
          <w:tcPr>
            <w:tcW w:w="1612" w:type="dxa"/>
            <w:tcBorders>
              <w:top w:val="nil"/>
              <w:left w:val="nil"/>
              <w:bottom w:val="nil"/>
              <w:right w:val="nil"/>
            </w:tcBorders>
            <w:shd w:val="clear" w:color="auto" w:fill="auto"/>
            <w:noWrap/>
            <w:vAlign w:val="center"/>
            <w:hideMark/>
          </w:tcPr>
          <w:p w14:paraId="6EAD761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1,60</w:t>
            </w:r>
          </w:p>
        </w:tc>
        <w:tc>
          <w:tcPr>
            <w:tcW w:w="1118" w:type="dxa"/>
            <w:tcBorders>
              <w:top w:val="nil"/>
              <w:left w:val="nil"/>
              <w:bottom w:val="nil"/>
              <w:right w:val="single" w:sz="4" w:space="0" w:color="auto"/>
            </w:tcBorders>
            <w:shd w:val="clear" w:color="auto" w:fill="auto"/>
            <w:noWrap/>
            <w:vAlign w:val="center"/>
            <w:hideMark/>
          </w:tcPr>
          <w:p w14:paraId="0F97983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0,10</w:t>
            </w:r>
          </w:p>
        </w:tc>
        <w:tc>
          <w:tcPr>
            <w:tcW w:w="1205" w:type="dxa"/>
            <w:tcBorders>
              <w:top w:val="nil"/>
              <w:left w:val="nil"/>
              <w:bottom w:val="nil"/>
              <w:right w:val="nil"/>
            </w:tcBorders>
            <w:shd w:val="clear" w:color="auto" w:fill="auto"/>
            <w:noWrap/>
            <w:vAlign w:val="center"/>
            <w:hideMark/>
          </w:tcPr>
          <w:p w14:paraId="45B80DD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-97,79</w:t>
            </w:r>
          </w:p>
        </w:tc>
        <w:tc>
          <w:tcPr>
            <w:tcW w:w="913" w:type="dxa"/>
            <w:tcBorders>
              <w:top w:val="nil"/>
              <w:left w:val="nil"/>
              <w:bottom w:val="nil"/>
              <w:right w:val="nil"/>
            </w:tcBorders>
            <w:shd w:val="clear" w:color="auto" w:fill="auto"/>
            <w:noWrap/>
            <w:vAlign w:val="center"/>
            <w:hideMark/>
          </w:tcPr>
          <w:p w14:paraId="40F7B4F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18,11</w:t>
            </w:r>
          </w:p>
        </w:tc>
        <w:tc>
          <w:tcPr>
            <w:tcW w:w="977" w:type="dxa"/>
            <w:tcBorders>
              <w:top w:val="nil"/>
              <w:left w:val="nil"/>
              <w:bottom w:val="nil"/>
              <w:right w:val="nil"/>
            </w:tcBorders>
            <w:shd w:val="clear" w:color="auto" w:fill="auto"/>
            <w:noWrap/>
            <w:vAlign w:val="center"/>
            <w:hideMark/>
          </w:tcPr>
          <w:p w14:paraId="79E73D7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-79,68</w:t>
            </w:r>
          </w:p>
        </w:tc>
      </w:tr>
      <w:tr w:rsidR="00743989" w:rsidRPr="00445E18" w14:paraId="616D8786"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08AF76EB"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Escol2</w:t>
            </w:r>
          </w:p>
        </w:tc>
        <w:tc>
          <w:tcPr>
            <w:tcW w:w="978" w:type="dxa"/>
            <w:tcBorders>
              <w:top w:val="nil"/>
              <w:left w:val="nil"/>
              <w:bottom w:val="nil"/>
              <w:right w:val="nil"/>
            </w:tcBorders>
            <w:shd w:val="clear" w:color="auto" w:fill="auto"/>
            <w:noWrap/>
            <w:vAlign w:val="center"/>
            <w:hideMark/>
          </w:tcPr>
          <w:p w14:paraId="4E71DD2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18,23</w:t>
            </w:r>
          </w:p>
        </w:tc>
        <w:tc>
          <w:tcPr>
            <w:tcW w:w="1073" w:type="dxa"/>
            <w:tcBorders>
              <w:top w:val="nil"/>
              <w:left w:val="nil"/>
              <w:bottom w:val="nil"/>
              <w:right w:val="nil"/>
            </w:tcBorders>
            <w:shd w:val="clear" w:color="auto" w:fill="auto"/>
            <w:noWrap/>
            <w:vAlign w:val="center"/>
            <w:hideMark/>
          </w:tcPr>
          <w:p w14:paraId="013DFB7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9,75</w:t>
            </w:r>
          </w:p>
        </w:tc>
        <w:tc>
          <w:tcPr>
            <w:tcW w:w="1374" w:type="dxa"/>
            <w:tcBorders>
              <w:top w:val="nil"/>
              <w:left w:val="single" w:sz="4" w:space="0" w:color="auto"/>
              <w:bottom w:val="nil"/>
              <w:right w:val="nil"/>
            </w:tcBorders>
            <w:shd w:val="clear" w:color="auto" w:fill="auto"/>
            <w:noWrap/>
            <w:vAlign w:val="center"/>
            <w:hideMark/>
          </w:tcPr>
          <w:p w14:paraId="41E48C9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0,234</w:t>
            </w:r>
          </w:p>
        </w:tc>
        <w:tc>
          <w:tcPr>
            <w:tcW w:w="1546" w:type="dxa"/>
            <w:tcBorders>
              <w:top w:val="nil"/>
              <w:left w:val="nil"/>
              <w:bottom w:val="nil"/>
              <w:right w:val="single" w:sz="4" w:space="0" w:color="auto"/>
            </w:tcBorders>
            <w:shd w:val="clear" w:color="auto" w:fill="auto"/>
            <w:noWrap/>
            <w:vAlign w:val="center"/>
            <w:hideMark/>
          </w:tcPr>
          <w:p w14:paraId="77F396C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0,171</w:t>
            </w:r>
          </w:p>
        </w:tc>
        <w:tc>
          <w:tcPr>
            <w:tcW w:w="1612" w:type="dxa"/>
            <w:tcBorders>
              <w:top w:val="nil"/>
              <w:left w:val="nil"/>
              <w:bottom w:val="nil"/>
              <w:right w:val="nil"/>
            </w:tcBorders>
            <w:shd w:val="clear" w:color="auto" w:fill="auto"/>
            <w:noWrap/>
            <w:vAlign w:val="center"/>
            <w:hideMark/>
          </w:tcPr>
          <w:p w14:paraId="56EC9F5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20,32</w:t>
            </w:r>
          </w:p>
        </w:tc>
        <w:tc>
          <w:tcPr>
            <w:tcW w:w="1118" w:type="dxa"/>
            <w:tcBorders>
              <w:top w:val="nil"/>
              <w:left w:val="nil"/>
              <w:bottom w:val="nil"/>
              <w:right w:val="single" w:sz="4" w:space="0" w:color="auto"/>
            </w:tcBorders>
            <w:shd w:val="clear" w:color="auto" w:fill="auto"/>
            <w:noWrap/>
            <w:vAlign w:val="center"/>
            <w:hideMark/>
          </w:tcPr>
          <w:p w14:paraId="4EA8E1D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8,47</w:t>
            </w:r>
          </w:p>
        </w:tc>
        <w:tc>
          <w:tcPr>
            <w:tcW w:w="1205" w:type="dxa"/>
            <w:tcBorders>
              <w:top w:val="nil"/>
              <w:left w:val="nil"/>
              <w:bottom w:val="nil"/>
              <w:right w:val="nil"/>
            </w:tcBorders>
            <w:shd w:val="clear" w:color="auto" w:fill="auto"/>
            <w:noWrap/>
            <w:vAlign w:val="center"/>
            <w:hideMark/>
          </w:tcPr>
          <w:p w14:paraId="3FEC887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-0,60</w:t>
            </w:r>
          </w:p>
        </w:tc>
        <w:tc>
          <w:tcPr>
            <w:tcW w:w="913" w:type="dxa"/>
            <w:tcBorders>
              <w:top w:val="nil"/>
              <w:left w:val="nil"/>
              <w:bottom w:val="nil"/>
              <w:right w:val="nil"/>
            </w:tcBorders>
            <w:shd w:val="clear" w:color="auto" w:fill="auto"/>
            <w:noWrap/>
            <w:vAlign w:val="center"/>
            <w:hideMark/>
          </w:tcPr>
          <w:p w14:paraId="703B054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70,12</w:t>
            </w:r>
          </w:p>
        </w:tc>
        <w:tc>
          <w:tcPr>
            <w:tcW w:w="977" w:type="dxa"/>
            <w:tcBorders>
              <w:top w:val="nil"/>
              <w:left w:val="nil"/>
              <w:bottom w:val="nil"/>
              <w:right w:val="nil"/>
            </w:tcBorders>
            <w:shd w:val="clear" w:color="auto" w:fill="auto"/>
            <w:noWrap/>
            <w:vAlign w:val="center"/>
            <w:hideMark/>
          </w:tcPr>
          <w:p w14:paraId="234677C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69,52</w:t>
            </w:r>
          </w:p>
        </w:tc>
      </w:tr>
      <w:tr w:rsidR="00743989" w:rsidRPr="00445E18" w14:paraId="5022D63E"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41F4FA0B"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Escol3</w:t>
            </w:r>
          </w:p>
        </w:tc>
        <w:tc>
          <w:tcPr>
            <w:tcW w:w="978" w:type="dxa"/>
            <w:tcBorders>
              <w:top w:val="nil"/>
              <w:left w:val="nil"/>
              <w:bottom w:val="nil"/>
              <w:right w:val="nil"/>
            </w:tcBorders>
            <w:shd w:val="clear" w:color="auto" w:fill="auto"/>
            <w:noWrap/>
            <w:vAlign w:val="center"/>
            <w:hideMark/>
          </w:tcPr>
          <w:p w14:paraId="6E29541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10,69</w:t>
            </w:r>
          </w:p>
        </w:tc>
        <w:tc>
          <w:tcPr>
            <w:tcW w:w="1073" w:type="dxa"/>
            <w:tcBorders>
              <w:top w:val="nil"/>
              <w:left w:val="nil"/>
              <w:bottom w:val="nil"/>
              <w:right w:val="nil"/>
            </w:tcBorders>
            <w:shd w:val="clear" w:color="auto" w:fill="auto"/>
            <w:noWrap/>
            <w:vAlign w:val="center"/>
            <w:hideMark/>
          </w:tcPr>
          <w:p w14:paraId="428B8C8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9,42</w:t>
            </w:r>
          </w:p>
        </w:tc>
        <w:tc>
          <w:tcPr>
            <w:tcW w:w="1374" w:type="dxa"/>
            <w:tcBorders>
              <w:top w:val="nil"/>
              <w:left w:val="single" w:sz="4" w:space="0" w:color="auto"/>
              <w:bottom w:val="nil"/>
              <w:right w:val="nil"/>
            </w:tcBorders>
            <w:shd w:val="clear" w:color="auto" w:fill="auto"/>
            <w:noWrap/>
            <w:vAlign w:val="center"/>
            <w:hideMark/>
          </w:tcPr>
          <w:p w14:paraId="7E9B349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0,260</w:t>
            </w:r>
          </w:p>
        </w:tc>
        <w:tc>
          <w:tcPr>
            <w:tcW w:w="1546" w:type="dxa"/>
            <w:tcBorders>
              <w:top w:val="nil"/>
              <w:left w:val="nil"/>
              <w:bottom w:val="nil"/>
              <w:right w:val="single" w:sz="4" w:space="0" w:color="auto"/>
            </w:tcBorders>
            <w:shd w:val="clear" w:color="auto" w:fill="auto"/>
            <w:noWrap/>
            <w:vAlign w:val="center"/>
            <w:hideMark/>
          </w:tcPr>
          <w:p w14:paraId="233E6AD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0,195</w:t>
            </w:r>
          </w:p>
        </w:tc>
        <w:tc>
          <w:tcPr>
            <w:tcW w:w="1612" w:type="dxa"/>
            <w:tcBorders>
              <w:top w:val="nil"/>
              <w:left w:val="nil"/>
              <w:bottom w:val="nil"/>
              <w:right w:val="nil"/>
            </w:tcBorders>
            <w:shd w:val="clear" w:color="auto" w:fill="auto"/>
            <w:noWrap/>
            <w:vAlign w:val="center"/>
            <w:hideMark/>
          </w:tcPr>
          <w:p w14:paraId="2C9675A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13,25</w:t>
            </w:r>
          </w:p>
        </w:tc>
        <w:tc>
          <w:tcPr>
            <w:tcW w:w="1118" w:type="dxa"/>
            <w:tcBorders>
              <w:top w:val="nil"/>
              <w:left w:val="nil"/>
              <w:bottom w:val="nil"/>
              <w:right w:val="single" w:sz="4" w:space="0" w:color="auto"/>
            </w:tcBorders>
            <w:shd w:val="clear" w:color="auto" w:fill="auto"/>
            <w:noWrap/>
            <w:vAlign w:val="center"/>
            <w:hideMark/>
          </w:tcPr>
          <w:p w14:paraId="232B770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9,30</w:t>
            </w:r>
          </w:p>
        </w:tc>
        <w:tc>
          <w:tcPr>
            <w:tcW w:w="1205" w:type="dxa"/>
            <w:tcBorders>
              <w:top w:val="nil"/>
              <w:left w:val="nil"/>
              <w:bottom w:val="nil"/>
              <w:right w:val="nil"/>
            </w:tcBorders>
            <w:shd w:val="clear" w:color="auto" w:fill="auto"/>
            <w:noWrap/>
            <w:vAlign w:val="center"/>
            <w:hideMark/>
          </w:tcPr>
          <w:p w14:paraId="55833E8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2,45</w:t>
            </w:r>
          </w:p>
        </w:tc>
        <w:tc>
          <w:tcPr>
            <w:tcW w:w="913" w:type="dxa"/>
            <w:tcBorders>
              <w:top w:val="nil"/>
              <w:left w:val="nil"/>
              <w:bottom w:val="nil"/>
              <w:right w:val="nil"/>
            </w:tcBorders>
            <w:shd w:val="clear" w:color="auto" w:fill="auto"/>
            <w:noWrap/>
            <w:vAlign w:val="center"/>
            <w:hideMark/>
          </w:tcPr>
          <w:p w14:paraId="2703D21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52,50</w:t>
            </w:r>
          </w:p>
        </w:tc>
        <w:tc>
          <w:tcPr>
            <w:tcW w:w="977" w:type="dxa"/>
            <w:tcBorders>
              <w:top w:val="nil"/>
              <w:left w:val="nil"/>
              <w:bottom w:val="nil"/>
              <w:right w:val="nil"/>
            </w:tcBorders>
            <w:shd w:val="clear" w:color="auto" w:fill="auto"/>
            <w:noWrap/>
            <w:vAlign w:val="center"/>
            <w:hideMark/>
          </w:tcPr>
          <w:p w14:paraId="589E68A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54,95</w:t>
            </w:r>
          </w:p>
        </w:tc>
      </w:tr>
      <w:tr w:rsidR="00743989" w:rsidRPr="00445E18" w14:paraId="41129CC8"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6381EC1A"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Escol4</w:t>
            </w:r>
          </w:p>
        </w:tc>
        <w:tc>
          <w:tcPr>
            <w:tcW w:w="978" w:type="dxa"/>
            <w:tcBorders>
              <w:top w:val="nil"/>
              <w:left w:val="nil"/>
              <w:bottom w:val="nil"/>
              <w:right w:val="nil"/>
            </w:tcBorders>
            <w:shd w:val="clear" w:color="auto" w:fill="auto"/>
            <w:noWrap/>
            <w:vAlign w:val="center"/>
            <w:hideMark/>
          </w:tcPr>
          <w:p w14:paraId="0A4B8AA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22,48</w:t>
            </w:r>
          </w:p>
        </w:tc>
        <w:tc>
          <w:tcPr>
            <w:tcW w:w="1073" w:type="dxa"/>
            <w:tcBorders>
              <w:top w:val="nil"/>
              <w:left w:val="nil"/>
              <w:bottom w:val="nil"/>
              <w:right w:val="nil"/>
            </w:tcBorders>
            <w:shd w:val="clear" w:color="auto" w:fill="auto"/>
            <w:noWrap/>
            <w:vAlign w:val="center"/>
            <w:hideMark/>
          </w:tcPr>
          <w:p w14:paraId="0F12B6A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27,65</w:t>
            </w:r>
          </w:p>
        </w:tc>
        <w:tc>
          <w:tcPr>
            <w:tcW w:w="1374" w:type="dxa"/>
            <w:tcBorders>
              <w:top w:val="nil"/>
              <w:left w:val="single" w:sz="4" w:space="0" w:color="auto"/>
              <w:bottom w:val="nil"/>
              <w:right w:val="nil"/>
            </w:tcBorders>
            <w:shd w:val="clear" w:color="auto" w:fill="auto"/>
            <w:noWrap/>
            <w:vAlign w:val="center"/>
            <w:hideMark/>
          </w:tcPr>
          <w:p w14:paraId="5BF709C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0,245</w:t>
            </w:r>
          </w:p>
        </w:tc>
        <w:tc>
          <w:tcPr>
            <w:tcW w:w="1546" w:type="dxa"/>
            <w:tcBorders>
              <w:top w:val="nil"/>
              <w:left w:val="nil"/>
              <w:bottom w:val="nil"/>
              <w:right w:val="single" w:sz="4" w:space="0" w:color="auto"/>
            </w:tcBorders>
            <w:shd w:val="clear" w:color="auto" w:fill="auto"/>
            <w:noWrap/>
            <w:vAlign w:val="center"/>
            <w:hideMark/>
          </w:tcPr>
          <w:p w14:paraId="2F3EE59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0,199</w:t>
            </w:r>
          </w:p>
        </w:tc>
        <w:tc>
          <w:tcPr>
            <w:tcW w:w="1612" w:type="dxa"/>
            <w:tcBorders>
              <w:top w:val="nil"/>
              <w:left w:val="nil"/>
              <w:bottom w:val="nil"/>
              <w:right w:val="nil"/>
            </w:tcBorders>
            <w:shd w:val="clear" w:color="auto" w:fill="auto"/>
            <w:noWrap/>
            <w:vAlign w:val="center"/>
            <w:hideMark/>
          </w:tcPr>
          <w:p w14:paraId="1AFACAF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26,23</w:t>
            </w:r>
          </w:p>
        </w:tc>
        <w:tc>
          <w:tcPr>
            <w:tcW w:w="1118" w:type="dxa"/>
            <w:tcBorders>
              <w:top w:val="nil"/>
              <w:left w:val="nil"/>
              <w:bottom w:val="nil"/>
              <w:right w:val="single" w:sz="4" w:space="0" w:color="auto"/>
            </w:tcBorders>
            <w:shd w:val="clear" w:color="auto" w:fill="auto"/>
            <w:noWrap/>
            <w:vAlign w:val="center"/>
            <w:hideMark/>
          </w:tcPr>
          <w:p w14:paraId="2248476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27,87</w:t>
            </w:r>
          </w:p>
        </w:tc>
        <w:tc>
          <w:tcPr>
            <w:tcW w:w="1205" w:type="dxa"/>
            <w:tcBorders>
              <w:top w:val="nil"/>
              <w:left w:val="nil"/>
              <w:bottom w:val="nil"/>
              <w:right w:val="nil"/>
            </w:tcBorders>
            <w:shd w:val="clear" w:color="auto" w:fill="auto"/>
            <w:noWrap/>
            <w:vAlign w:val="center"/>
            <w:hideMark/>
          </w:tcPr>
          <w:p w14:paraId="49E8420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-7,62</w:t>
            </w:r>
          </w:p>
        </w:tc>
        <w:tc>
          <w:tcPr>
            <w:tcW w:w="913" w:type="dxa"/>
            <w:tcBorders>
              <w:top w:val="nil"/>
              <w:left w:val="nil"/>
              <w:bottom w:val="nil"/>
              <w:right w:val="nil"/>
            </w:tcBorders>
            <w:shd w:val="clear" w:color="auto" w:fill="auto"/>
            <w:noWrap/>
            <w:vAlign w:val="center"/>
            <w:hideMark/>
          </w:tcPr>
          <w:p w14:paraId="6E3A4AA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92,51</w:t>
            </w:r>
          </w:p>
        </w:tc>
        <w:tc>
          <w:tcPr>
            <w:tcW w:w="977" w:type="dxa"/>
            <w:tcBorders>
              <w:top w:val="nil"/>
              <w:left w:val="nil"/>
              <w:bottom w:val="nil"/>
              <w:right w:val="nil"/>
            </w:tcBorders>
            <w:shd w:val="clear" w:color="auto" w:fill="auto"/>
            <w:noWrap/>
            <w:vAlign w:val="center"/>
            <w:hideMark/>
          </w:tcPr>
          <w:p w14:paraId="4D4DE9E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84,89</w:t>
            </w:r>
          </w:p>
        </w:tc>
      </w:tr>
      <w:tr w:rsidR="00743989" w:rsidRPr="00445E18" w14:paraId="71755936"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02156D0B"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Escol5</w:t>
            </w:r>
          </w:p>
        </w:tc>
        <w:tc>
          <w:tcPr>
            <w:tcW w:w="978" w:type="dxa"/>
            <w:tcBorders>
              <w:top w:val="nil"/>
              <w:left w:val="nil"/>
              <w:bottom w:val="nil"/>
              <w:right w:val="nil"/>
            </w:tcBorders>
            <w:shd w:val="clear" w:color="auto" w:fill="auto"/>
            <w:noWrap/>
            <w:vAlign w:val="center"/>
            <w:hideMark/>
          </w:tcPr>
          <w:p w14:paraId="0B04DDF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18,56</w:t>
            </w:r>
          </w:p>
        </w:tc>
        <w:tc>
          <w:tcPr>
            <w:tcW w:w="1073" w:type="dxa"/>
            <w:tcBorders>
              <w:top w:val="nil"/>
              <w:left w:val="nil"/>
              <w:bottom w:val="nil"/>
              <w:right w:val="nil"/>
            </w:tcBorders>
            <w:shd w:val="clear" w:color="auto" w:fill="auto"/>
            <w:noWrap/>
            <w:vAlign w:val="center"/>
            <w:hideMark/>
          </w:tcPr>
          <w:p w14:paraId="54C3411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23,96</w:t>
            </w:r>
          </w:p>
        </w:tc>
        <w:tc>
          <w:tcPr>
            <w:tcW w:w="1374" w:type="dxa"/>
            <w:tcBorders>
              <w:top w:val="nil"/>
              <w:left w:val="single" w:sz="4" w:space="0" w:color="auto"/>
              <w:bottom w:val="nil"/>
              <w:right w:val="nil"/>
            </w:tcBorders>
            <w:shd w:val="clear" w:color="auto" w:fill="auto"/>
            <w:noWrap/>
            <w:vAlign w:val="center"/>
            <w:hideMark/>
          </w:tcPr>
          <w:p w14:paraId="61A403D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0,295</w:t>
            </w:r>
          </w:p>
        </w:tc>
        <w:tc>
          <w:tcPr>
            <w:tcW w:w="1546" w:type="dxa"/>
            <w:tcBorders>
              <w:top w:val="nil"/>
              <w:left w:val="nil"/>
              <w:bottom w:val="nil"/>
              <w:right w:val="single" w:sz="4" w:space="0" w:color="auto"/>
            </w:tcBorders>
            <w:shd w:val="clear" w:color="auto" w:fill="auto"/>
            <w:noWrap/>
            <w:vAlign w:val="center"/>
            <w:hideMark/>
          </w:tcPr>
          <w:p w14:paraId="6C33C4B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0,317</w:t>
            </w:r>
          </w:p>
        </w:tc>
        <w:tc>
          <w:tcPr>
            <w:tcW w:w="1612" w:type="dxa"/>
            <w:tcBorders>
              <w:top w:val="nil"/>
              <w:left w:val="nil"/>
              <w:bottom w:val="nil"/>
              <w:right w:val="nil"/>
            </w:tcBorders>
            <w:shd w:val="clear" w:color="auto" w:fill="auto"/>
            <w:noWrap/>
            <w:vAlign w:val="center"/>
            <w:hideMark/>
          </w:tcPr>
          <w:p w14:paraId="190D8AA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26,09</w:t>
            </w:r>
          </w:p>
        </w:tc>
        <w:tc>
          <w:tcPr>
            <w:tcW w:w="1118" w:type="dxa"/>
            <w:tcBorders>
              <w:top w:val="nil"/>
              <w:left w:val="nil"/>
              <w:bottom w:val="nil"/>
              <w:right w:val="single" w:sz="4" w:space="0" w:color="auto"/>
            </w:tcBorders>
            <w:shd w:val="clear" w:color="auto" w:fill="auto"/>
            <w:noWrap/>
            <w:vAlign w:val="center"/>
            <w:hideMark/>
          </w:tcPr>
          <w:p w14:paraId="378BEB2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38,54</w:t>
            </w:r>
          </w:p>
        </w:tc>
        <w:tc>
          <w:tcPr>
            <w:tcW w:w="1205" w:type="dxa"/>
            <w:tcBorders>
              <w:top w:val="nil"/>
              <w:left w:val="nil"/>
              <w:bottom w:val="nil"/>
              <w:right w:val="nil"/>
            </w:tcBorders>
            <w:shd w:val="clear" w:color="auto" w:fill="auto"/>
            <w:noWrap/>
            <w:vAlign w:val="center"/>
            <w:hideMark/>
          </w:tcPr>
          <w:p w14:paraId="0DC9E90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-44,51</w:t>
            </w:r>
          </w:p>
        </w:tc>
        <w:tc>
          <w:tcPr>
            <w:tcW w:w="913" w:type="dxa"/>
            <w:tcBorders>
              <w:top w:val="nil"/>
              <w:left w:val="nil"/>
              <w:bottom w:val="nil"/>
              <w:right w:val="nil"/>
            </w:tcBorders>
            <w:shd w:val="clear" w:color="auto" w:fill="auto"/>
            <w:noWrap/>
            <w:vAlign w:val="center"/>
            <w:hideMark/>
          </w:tcPr>
          <w:p w14:paraId="15FD768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-38,34</w:t>
            </w:r>
          </w:p>
        </w:tc>
        <w:tc>
          <w:tcPr>
            <w:tcW w:w="977" w:type="dxa"/>
            <w:tcBorders>
              <w:top w:val="nil"/>
              <w:left w:val="nil"/>
              <w:bottom w:val="nil"/>
              <w:right w:val="nil"/>
            </w:tcBorders>
            <w:shd w:val="clear" w:color="auto" w:fill="auto"/>
            <w:noWrap/>
            <w:vAlign w:val="center"/>
            <w:hideMark/>
          </w:tcPr>
          <w:p w14:paraId="37B9E43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-82,85</w:t>
            </w:r>
          </w:p>
        </w:tc>
      </w:tr>
      <w:tr w:rsidR="00743989" w:rsidRPr="00445E18" w14:paraId="4A957B05"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3DEC6C25"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Outras</w:t>
            </w:r>
          </w:p>
        </w:tc>
        <w:tc>
          <w:tcPr>
            <w:tcW w:w="978" w:type="dxa"/>
            <w:tcBorders>
              <w:top w:val="nil"/>
              <w:left w:val="nil"/>
              <w:bottom w:val="nil"/>
              <w:right w:val="nil"/>
            </w:tcBorders>
            <w:shd w:val="clear" w:color="auto" w:fill="auto"/>
            <w:noWrap/>
            <w:vAlign w:val="center"/>
            <w:hideMark/>
          </w:tcPr>
          <w:p w14:paraId="31FDA74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073" w:type="dxa"/>
            <w:tcBorders>
              <w:top w:val="nil"/>
              <w:left w:val="nil"/>
              <w:bottom w:val="nil"/>
              <w:right w:val="single" w:sz="4" w:space="0" w:color="auto"/>
            </w:tcBorders>
            <w:shd w:val="clear" w:color="auto" w:fill="auto"/>
            <w:noWrap/>
            <w:vAlign w:val="center"/>
            <w:hideMark/>
          </w:tcPr>
          <w:p w14:paraId="6B070E7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374" w:type="dxa"/>
            <w:tcBorders>
              <w:top w:val="nil"/>
              <w:left w:val="nil"/>
              <w:bottom w:val="nil"/>
              <w:right w:val="nil"/>
            </w:tcBorders>
            <w:shd w:val="clear" w:color="auto" w:fill="auto"/>
            <w:noWrap/>
            <w:vAlign w:val="center"/>
            <w:hideMark/>
          </w:tcPr>
          <w:p w14:paraId="08C36DA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546" w:type="dxa"/>
            <w:tcBorders>
              <w:top w:val="nil"/>
              <w:left w:val="nil"/>
              <w:bottom w:val="nil"/>
              <w:right w:val="single" w:sz="4" w:space="0" w:color="auto"/>
            </w:tcBorders>
            <w:shd w:val="clear" w:color="auto" w:fill="auto"/>
            <w:noWrap/>
            <w:vAlign w:val="center"/>
            <w:hideMark/>
          </w:tcPr>
          <w:p w14:paraId="4C52B24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612" w:type="dxa"/>
            <w:tcBorders>
              <w:top w:val="nil"/>
              <w:left w:val="nil"/>
              <w:bottom w:val="nil"/>
              <w:right w:val="nil"/>
            </w:tcBorders>
            <w:shd w:val="clear" w:color="auto" w:fill="auto"/>
            <w:noWrap/>
            <w:vAlign w:val="center"/>
            <w:hideMark/>
          </w:tcPr>
          <w:p w14:paraId="1B8F1FD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118" w:type="dxa"/>
            <w:tcBorders>
              <w:top w:val="nil"/>
              <w:left w:val="nil"/>
              <w:bottom w:val="nil"/>
              <w:right w:val="single" w:sz="4" w:space="0" w:color="auto"/>
            </w:tcBorders>
            <w:shd w:val="clear" w:color="auto" w:fill="auto"/>
            <w:noWrap/>
            <w:vAlign w:val="center"/>
            <w:hideMark/>
          </w:tcPr>
          <w:p w14:paraId="5CC6771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205" w:type="dxa"/>
            <w:tcBorders>
              <w:top w:val="nil"/>
              <w:left w:val="nil"/>
              <w:bottom w:val="nil"/>
              <w:right w:val="nil"/>
            </w:tcBorders>
            <w:shd w:val="clear" w:color="auto" w:fill="auto"/>
            <w:noWrap/>
            <w:vAlign w:val="center"/>
            <w:hideMark/>
          </w:tcPr>
          <w:p w14:paraId="44D2A4D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13" w:type="dxa"/>
            <w:tcBorders>
              <w:top w:val="nil"/>
              <w:left w:val="nil"/>
              <w:bottom w:val="nil"/>
              <w:right w:val="nil"/>
            </w:tcBorders>
            <w:shd w:val="clear" w:color="auto" w:fill="auto"/>
            <w:noWrap/>
            <w:vAlign w:val="center"/>
            <w:hideMark/>
          </w:tcPr>
          <w:p w14:paraId="600A818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77" w:type="dxa"/>
            <w:tcBorders>
              <w:top w:val="nil"/>
              <w:left w:val="nil"/>
              <w:bottom w:val="nil"/>
              <w:right w:val="nil"/>
            </w:tcBorders>
            <w:shd w:val="clear" w:color="auto" w:fill="auto"/>
            <w:noWrap/>
            <w:vAlign w:val="center"/>
            <w:hideMark/>
          </w:tcPr>
          <w:p w14:paraId="0E18057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r>
      <w:tr w:rsidR="00743989" w:rsidRPr="00445E18" w14:paraId="6BDF9E55"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639D46C8"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Após. e pensões</w:t>
            </w:r>
          </w:p>
        </w:tc>
        <w:tc>
          <w:tcPr>
            <w:tcW w:w="978" w:type="dxa"/>
            <w:tcBorders>
              <w:top w:val="nil"/>
              <w:left w:val="nil"/>
              <w:bottom w:val="nil"/>
              <w:right w:val="nil"/>
            </w:tcBorders>
            <w:shd w:val="clear" w:color="auto" w:fill="auto"/>
            <w:noWrap/>
            <w:vAlign w:val="center"/>
            <w:hideMark/>
          </w:tcPr>
          <w:p w14:paraId="23B149F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13,59</w:t>
            </w:r>
          </w:p>
        </w:tc>
        <w:tc>
          <w:tcPr>
            <w:tcW w:w="1073" w:type="dxa"/>
            <w:tcBorders>
              <w:top w:val="nil"/>
              <w:left w:val="nil"/>
              <w:bottom w:val="nil"/>
              <w:right w:val="nil"/>
            </w:tcBorders>
            <w:shd w:val="clear" w:color="auto" w:fill="auto"/>
            <w:noWrap/>
            <w:vAlign w:val="center"/>
            <w:hideMark/>
          </w:tcPr>
          <w:p w14:paraId="636E498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18,35</w:t>
            </w:r>
          </w:p>
        </w:tc>
        <w:tc>
          <w:tcPr>
            <w:tcW w:w="1374" w:type="dxa"/>
            <w:tcBorders>
              <w:top w:val="nil"/>
              <w:left w:val="single" w:sz="4" w:space="0" w:color="auto"/>
              <w:bottom w:val="nil"/>
              <w:right w:val="nil"/>
            </w:tcBorders>
            <w:shd w:val="clear" w:color="auto" w:fill="auto"/>
            <w:noWrap/>
            <w:vAlign w:val="center"/>
            <w:hideMark/>
          </w:tcPr>
          <w:p w14:paraId="190711D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0,141</w:t>
            </w:r>
          </w:p>
        </w:tc>
        <w:tc>
          <w:tcPr>
            <w:tcW w:w="1546" w:type="dxa"/>
            <w:tcBorders>
              <w:top w:val="nil"/>
              <w:left w:val="nil"/>
              <w:bottom w:val="nil"/>
              <w:right w:val="single" w:sz="4" w:space="0" w:color="auto"/>
            </w:tcBorders>
            <w:shd w:val="clear" w:color="auto" w:fill="auto"/>
            <w:noWrap/>
            <w:vAlign w:val="center"/>
            <w:hideMark/>
          </w:tcPr>
          <w:p w14:paraId="3F432FA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0,167</w:t>
            </w:r>
          </w:p>
        </w:tc>
        <w:tc>
          <w:tcPr>
            <w:tcW w:w="1612" w:type="dxa"/>
            <w:tcBorders>
              <w:top w:val="nil"/>
              <w:left w:val="nil"/>
              <w:bottom w:val="nil"/>
              <w:right w:val="nil"/>
            </w:tcBorders>
            <w:shd w:val="clear" w:color="auto" w:fill="auto"/>
            <w:noWrap/>
            <w:vAlign w:val="center"/>
            <w:hideMark/>
          </w:tcPr>
          <w:p w14:paraId="0F870FE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9,15</w:t>
            </w:r>
          </w:p>
        </w:tc>
        <w:tc>
          <w:tcPr>
            <w:tcW w:w="1118" w:type="dxa"/>
            <w:tcBorders>
              <w:top w:val="nil"/>
              <w:left w:val="nil"/>
              <w:bottom w:val="nil"/>
              <w:right w:val="single" w:sz="4" w:space="0" w:color="auto"/>
            </w:tcBorders>
            <w:shd w:val="clear" w:color="auto" w:fill="auto"/>
            <w:noWrap/>
            <w:vAlign w:val="center"/>
            <w:hideMark/>
          </w:tcPr>
          <w:p w14:paraId="4B78DCC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15,57</w:t>
            </w:r>
          </w:p>
        </w:tc>
        <w:tc>
          <w:tcPr>
            <w:tcW w:w="1205" w:type="dxa"/>
            <w:tcBorders>
              <w:top w:val="nil"/>
              <w:left w:val="nil"/>
              <w:bottom w:val="nil"/>
              <w:right w:val="nil"/>
            </w:tcBorders>
            <w:shd w:val="clear" w:color="auto" w:fill="auto"/>
            <w:noWrap/>
            <w:vAlign w:val="center"/>
            <w:hideMark/>
          </w:tcPr>
          <w:p w14:paraId="76BB181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18,79</w:t>
            </w:r>
          </w:p>
        </w:tc>
        <w:tc>
          <w:tcPr>
            <w:tcW w:w="913" w:type="dxa"/>
            <w:tcBorders>
              <w:top w:val="nil"/>
              <w:left w:val="nil"/>
              <w:bottom w:val="nil"/>
              <w:right w:val="nil"/>
            </w:tcBorders>
            <w:shd w:val="clear" w:color="auto" w:fill="auto"/>
            <w:noWrap/>
            <w:vAlign w:val="center"/>
            <w:hideMark/>
          </w:tcPr>
          <w:p w14:paraId="0298C52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-33,64</w:t>
            </w:r>
          </w:p>
        </w:tc>
        <w:tc>
          <w:tcPr>
            <w:tcW w:w="977" w:type="dxa"/>
            <w:tcBorders>
              <w:top w:val="nil"/>
              <w:left w:val="nil"/>
              <w:bottom w:val="nil"/>
              <w:right w:val="nil"/>
            </w:tcBorders>
            <w:shd w:val="clear" w:color="auto" w:fill="auto"/>
            <w:noWrap/>
            <w:vAlign w:val="center"/>
            <w:hideMark/>
          </w:tcPr>
          <w:p w14:paraId="39CF96F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-14,85</w:t>
            </w:r>
          </w:p>
        </w:tc>
      </w:tr>
      <w:tr w:rsidR="00743989" w:rsidRPr="00445E18" w14:paraId="215929BA"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7CCA057B"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BPC</w:t>
            </w:r>
          </w:p>
        </w:tc>
        <w:tc>
          <w:tcPr>
            <w:tcW w:w="978" w:type="dxa"/>
            <w:tcBorders>
              <w:top w:val="nil"/>
              <w:left w:val="nil"/>
              <w:bottom w:val="nil"/>
              <w:right w:val="nil"/>
            </w:tcBorders>
            <w:shd w:val="clear" w:color="auto" w:fill="auto"/>
            <w:noWrap/>
            <w:vAlign w:val="center"/>
            <w:hideMark/>
          </w:tcPr>
          <w:p w14:paraId="6D41416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073" w:type="dxa"/>
            <w:tcBorders>
              <w:top w:val="nil"/>
              <w:left w:val="nil"/>
              <w:bottom w:val="nil"/>
              <w:right w:val="nil"/>
            </w:tcBorders>
            <w:shd w:val="clear" w:color="auto" w:fill="auto"/>
            <w:noWrap/>
            <w:vAlign w:val="center"/>
            <w:hideMark/>
          </w:tcPr>
          <w:p w14:paraId="7B76369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0,73</w:t>
            </w:r>
          </w:p>
        </w:tc>
        <w:tc>
          <w:tcPr>
            <w:tcW w:w="1374" w:type="dxa"/>
            <w:tcBorders>
              <w:top w:val="nil"/>
              <w:left w:val="single" w:sz="4" w:space="0" w:color="auto"/>
              <w:bottom w:val="nil"/>
              <w:right w:val="nil"/>
            </w:tcBorders>
            <w:shd w:val="clear" w:color="auto" w:fill="auto"/>
            <w:noWrap/>
            <w:vAlign w:val="center"/>
            <w:hideMark/>
          </w:tcPr>
          <w:p w14:paraId="011A72D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546" w:type="dxa"/>
            <w:tcBorders>
              <w:top w:val="nil"/>
              <w:left w:val="nil"/>
              <w:bottom w:val="nil"/>
              <w:right w:val="single" w:sz="4" w:space="0" w:color="auto"/>
            </w:tcBorders>
            <w:shd w:val="clear" w:color="auto" w:fill="auto"/>
            <w:noWrap/>
            <w:vAlign w:val="center"/>
            <w:hideMark/>
          </w:tcPr>
          <w:p w14:paraId="6EB560E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-0,118</w:t>
            </w:r>
          </w:p>
        </w:tc>
        <w:tc>
          <w:tcPr>
            <w:tcW w:w="1612" w:type="dxa"/>
            <w:tcBorders>
              <w:top w:val="nil"/>
              <w:left w:val="nil"/>
              <w:bottom w:val="nil"/>
              <w:right w:val="nil"/>
            </w:tcBorders>
            <w:shd w:val="clear" w:color="auto" w:fill="auto"/>
            <w:noWrap/>
            <w:vAlign w:val="center"/>
            <w:hideMark/>
          </w:tcPr>
          <w:p w14:paraId="3F54395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118" w:type="dxa"/>
            <w:tcBorders>
              <w:top w:val="nil"/>
              <w:left w:val="nil"/>
              <w:bottom w:val="nil"/>
              <w:right w:val="single" w:sz="4" w:space="0" w:color="auto"/>
            </w:tcBorders>
            <w:shd w:val="clear" w:color="auto" w:fill="auto"/>
            <w:noWrap/>
            <w:vAlign w:val="center"/>
            <w:hideMark/>
          </w:tcPr>
          <w:p w14:paraId="1D29A54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-0,43</w:t>
            </w:r>
          </w:p>
        </w:tc>
        <w:tc>
          <w:tcPr>
            <w:tcW w:w="1205" w:type="dxa"/>
            <w:tcBorders>
              <w:top w:val="nil"/>
              <w:left w:val="nil"/>
              <w:bottom w:val="nil"/>
              <w:right w:val="nil"/>
            </w:tcBorders>
            <w:shd w:val="clear" w:color="auto" w:fill="auto"/>
            <w:noWrap/>
            <w:vAlign w:val="center"/>
            <w:hideMark/>
          </w:tcPr>
          <w:p w14:paraId="61B6CF1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15,32</w:t>
            </w:r>
          </w:p>
        </w:tc>
        <w:tc>
          <w:tcPr>
            <w:tcW w:w="913" w:type="dxa"/>
            <w:tcBorders>
              <w:top w:val="nil"/>
              <w:left w:val="nil"/>
              <w:bottom w:val="nil"/>
              <w:right w:val="nil"/>
            </w:tcBorders>
            <w:shd w:val="clear" w:color="auto" w:fill="auto"/>
            <w:noWrap/>
            <w:vAlign w:val="center"/>
            <w:hideMark/>
          </w:tcPr>
          <w:p w14:paraId="3D32881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3,44</w:t>
            </w:r>
          </w:p>
        </w:tc>
        <w:tc>
          <w:tcPr>
            <w:tcW w:w="977" w:type="dxa"/>
            <w:tcBorders>
              <w:top w:val="nil"/>
              <w:left w:val="nil"/>
              <w:bottom w:val="nil"/>
              <w:right w:val="nil"/>
            </w:tcBorders>
            <w:shd w:val="clear" w:color="auto" w:fill="auto"/>
            <w:noWrap/>
            <w:vAlign w:val="center"/>
            <w:hideMark/>
          </w:tcPr>
          <w:p w14:paraId="569B5D5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18,76</w:t>
            </w:r>
          </w:p>
        </w:tc>
      </w:tr>
      <w:tr w:rsidR="00743989" w:rsidRPr="00445E18" w14:paraId="4E0F163F"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74A28ADA"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Bolsa Família</w:t>
            </w:r>
          </w:p>
        </w:tc>
        <w:tc>
          <w:tcPr>
            <w:tcW w:w="978" w:type="dxa"/>
            <w:tcBorders>
              <w:top w:val="nil"/>
              <w:left w:val="nil"/>
              <w:bottom w:val="nil"/>
              <w:right w:val="nil"/>
            </w:tcBorders>
            <w:shd w:val="clear" w:color="auto" w:fill="auto"/>
            <w:noWrap/>
            <w:vAlign w:val="center"/>
            <w:hideMark/>
          </w:tcPr>
          <w:p w14:paraId="1AB5B59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073" w:type="dxa"/>
            <w:tcBorders>
              <w:top w:val="nil"/>
              <w:left w:val="nil"/>
              <w:bottom w:val="nil"/>
              <w:right w:val="nil"/>
            </w:tcBorders>
            <w:shd w:val="clear" w:color="auto" w:fill="auto"/>
            <w:noWrap/>
            <w:vAlign w:val="center"/>
            <w:hideMark/>
          </w:tcPr>
          <w:p w14:paraId="48037CE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1,30</w:t>
            </w:r>
          </w:p>
        </w:tc>
        <w:tc>
          <w:tcPr>
            <w:tcW w:w="1374" w:type="dxa"/>
            <w:tcBorders>
              <w:top w:val="nil"/>
              <w:left w:val="single" w:sz="4" w:space="0" w:color="auto"/>
              <w:bottom w:val="nil"/>
              <w:right w:val="nil"/>
            </w:tcBorders>
            <w:shd w:val="clear" w:color="auto" w:fill="auto"/>
            <w:noWrap/>
            <w:vAlign w:val="center"/>
            <w:hideMark/>
          </w:tcPr>
          <w:p w14:paraId="48DC769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546" w:type="dxa"/>
            <w:tcBorders>
              <w:top w:val="nil"/>
              <w:left w:val="nil"/>
              <w:bottom w:val="nil"/>
              <w:right w:val="single" w:sz="4" w:space="0" w:color="auto"/>
            </w:tcBorders>
            <w:shd w:val="clear" w:color="auto" w:fill="auto"/>
            <w:noWrap/>
            <w:vAlign w:val="center"/>
            <w:hideMark/>
          </w:tcPr>
          <w:p w14:paraId="4CBEB80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-0,230</w:t>
            </w:r>
          </w:p>
        </w:tc>
        <w:tc>
          <w:tcPr>
            <w:tcW w:w="1612" w:type="dxa"/>
            <w:tcBorders>
              <w:top w:val="nil"/>
              <w:left w:val="nil"/>
              <w:bottom w:val="nil"/>
              <w:right w:val="nil"/>
            </w:tcBorders>
            <w:shd w:val="clear" w:color="auto" w:fill="auto"/>
            <w:noWrap/>
            <w:vAlign w:val="center"/>
            <w:hideMark/>
          </w:tcPr>
          <w:p w14:paraId="4BA5D1D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w:t>
            </w:r>
          </w:p>
        </w:tc>
        <w:tc>
          <w:tcPr>
            <w:tcW w:w="1118" w:type="dxa"/>
            <w:tcBorders>
              <w:top w:val="nil"/>
              <w:left w:val="nil"/>
              <w:bottom w:val="nil"/>
              <w:right w:val="single" w:sz="4" w:space="0" w:color="auto"/>
            </w:tcBorders>
            <w:shd w:val="clear" w:color="auto" w:fill="auto"/>
            <w:noWrap/>
            <w:vAlign w:val="center"/>
            <w:hideMark/>
          </w:tcPr>
          <w:p w14:paraId="336FBF8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-1,51</w:t>
            </w:r>
          </w:p>
        </w:tc>
        <w:tc>
          <w:tcPr>
            <w:tcW w:w="1205" w:type="dxa"/>
            <w:tcBorders>
              <w:top w:val="nil"/>
              <w:left w:val="nil"/>
              <w:bottom w:val="nil"/>
              <w:right w:val="nil"/>
            </w:tcBorders>
            <w:shd w:val="clear" w:color="auto" w:fill="auto"/>
            <w:noWrap/>
            <w:vAlign w:val="center"/>
            <w:hideMark/>
          </w:tcPr>
          <w:p w14:paraId="611488F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33,18</w:t>
            </w:r>
          </w:p>
        </w:tc>
        <w:tc>
          <w:tcPr>
            <w:tcW w:w="913" w:type="dxa"/>
            <w:tcBorders>
              <w:top w:val="nil"/>
              <w:left w:val="nil"/>
              <w:bottom w:val="nil"/>
              <w:right w:val="nil"/>
            </w:tcBorders>
            <w:shd w:val="clear" w:color="auto" w:fill="auto"/>
            <w:noWrap/>
            <w:vAlign w:val="center"/>
            <w:hideMark/>
          </w:tcPr>
          <w:p w14:paraId="6BD8736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11,99</w:t>
            </w:r>
          </w:p>
        </w:tc>
        <w:tc>
          <w:tcPr>
            <w:tcW w:w="977" w:type="dxa"/>
            <w:tcBorders>
              <w:top w:val="nil"/>
              <w:left w:val="nil"/>
              <w:bottom w:val="nil"/>
              <w:right w:val="nil"/>
            </w:tcBorders>
            <w:shd w:val="clear" w:color="auto" w:fill="auto"/>
            <w:noWrap/>
            <w:vAlign w:val="center"/>
            <w:hideMark/>
          </w:tcPr>
          <w:p w14:paraId="69CF3AC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45,17</w:t>
            </w:r>
          </w:p>
        </w:tc>
      </w:tr>
      <w:tr w:rsidR="00743989" w:rsidRPr="00445E18" w14:paraId="4D4E415F"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33D557F0"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Capital</w:t>
            </w:r>
          </w:p>
        </w:tc>
        <w:tc>
          <w:tcPr>
            <w:tcW w:w="978" w:type="dxa"/>
            <w:tcBorders>
              <w:top w:val="nil"/>
              <w:left w:val="nil"/>
              <w:bottom w:val="nil"/>
              <w:right w:val="nil"/>
            </w:tcBorders>
            <w:shd w:val="clear" w:color="auto" w:fill="auto"/>
            <w:noWrap/>
            <w:vAlign w:val="center"/>
            <w:hideMark/>
          </w:tcPr>
          <w:p w14:paraId="1A9B5EF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0,70</w:t>
            </w:r>
          </w:p>
        </w:tc>
        <w:tc>
          <w:tcPr>
            <w:tcW w:w="1073" w:type="dxa"/>
            <w:tcBorders>
              <w:top w:val="nil"/>
              <w:left w:val="nil"/>
              <w:bottom w:val="nil"/>
              <w:right w:val="nil"/>
            </w:tcBorders>
            <w:shd w:val="clear" w:color="auto" w:fill="auto"/>
            <w:noWrap/>
            <w:vAlign w:val="center"/>
            <w:hideMark/>
          </w:tcPr>
          <w:p w14:paraId="5597F0B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0,50</w:t>
            </w:r>
          </w:p>
        </w:tc>
        <w:tc>
          <w:tcPr>
            <w:tcW w:w="1374" w:type="dxa"/>
            <w:tcBorders>
              <w:top w:val="nil"/>
              <w:left w:val="single" w:sz="4" w:space="0" w:color="auto"/>
              <w:bottom w:val="nil"/>
              <w:right w:val="nil"/>
            </w:tcBorders>
            <w:shd w:val="clear" w:color="auto" w:fill="auto"/>
            <w:noWrap/>
            <w:vAlign w:val="center"/>
            <w:hideMark/>
          </w:tcPr>
          <w:p w14:paraId="40FA906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0,256</w:t>
            </w:r>
          </w:p>
        </w:tc>
        <w:tc>
          <w:tcPr>
            <w:tcW w:w="1546" w:type="dxa"/>
            <w:tcBorders>
              <w:top w:val="nil"/>
              <w:left w:val="nil"/>
              <w:bottom w:val="nil"/>
              <w:right w:val="single" w:sz="4" w:space="0" w:color="auto"/>
            </w:tcBorders>
            <w:shd w:val="clear" w:color="auto" w:fill="auto"/>
            <w:noWrap/>
            <w:vAlign w:val="center"/>
            <w:hideMark/>
          </w:tcPr>
          <w:p w14:paraId="67824C7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0,166</w:t>
            </w:r>
          </w:p>
        </w:tc>
        <w:tc>
          <w:tcPr>
            <w:tcW w:w="1612" w:type="dxa"/>
            <w:tcBorders>
              <w:top w:val="nil"/>
              <w:left w:val="nil"/>
              <w:bottom w:val="nil"/>
              <w:right w:val="nil"/>
            </w:tcBorders>
            <w:shd w:val="clear" w:color="auto" w:fill="auto"/>
            <w:noWrap/>
            <w:vAlign w:val="center"/>
            <w:hideMark/>
          </w:tcPr>
          <w:p w14:paraId="0CBBEF3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0,85</w:t>
            </w:r>
          </w:p>
        </w:tc>
        <w:tc>
          <w:tcPr>
            <w:tcW w:w="1118" w:type="dxa"/>
            <w:tcBorders>
              <w:top w:val="nil"/>
              <w:left w:val="nil"/>
              <w:bottom w:val="nil"/>
              <w:right w:val="single" w:sz="4" w:space="0" w:color="auto"/>
            </w:tcBorders>
            <w:shd w:val="clear" w:color="auto" w:fill="auto"/>
            <w:noWrap/>
            <w:vAlign w:val="center"/>
            <w:hideMark/>
          </w:tcPr>
          <w:p w14:paraId="20D4A1C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0,42</w:t>
            </w:r>
          </w:p>
        </w:tc>
        <w:tc>
          <w:tcPr>
            <w:tcW w:w="1205" w:type="dxa"/>
            <w:tcBorders>
              <w:top w:val="nil"/>
              <w:left w:val="nil"/>
              <w:bottom w:val="nil"/>
              <w:right w:val="nil"/>
            </w:tcBorders>
            <w:shd w:val="clear" w:color="auto" w:fill="auto"/>
            <w:noWrap/>
            <w:vAlign w:val="center"/>
            <w:hideMark/>
          </w:tcPr>
          <w:p w14:paraId="184EAA0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0,12</w:t>
            </w:r>
          </w:p>
        </w:tc>
        <w:tc>
          <w:tcPr>
            <w:tcW w:w="913" w:type="dxa"/>
            <w:tcBorders>
              <w:top w:val="nil"/>
              <w:left w:val="nil"/>
              <w:bottom w:val="nil"/>
              <w:right w:val="nil"/>
            </w:tcBorders>
            <w:shd w:val="clear" w:color="auto" w:fill="auto"/>
            <w:noWrap/>
            <w:vAlign w:val="center"/>
            <w:hideMark/>
          </w:tcPr>
          <w:p w14:paraId="1CDEAA5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4,35</w:t>
            </w:r>
          </w:p>
        </w:tc>
        <w:tc>
          <w:tcPr>
            <w:tcW w:w="977" w:type="dxa"/>
            <w:tcBorders>
              <w:top w:val="nil"/>
              <w:left w:val="nil"/>
              <w:bottom w:val="nil"/>
              <w:right w:val="nil"/>
            </w:tcBorders>
            <w:shd w:val="clear" w:color="auto" w:fill="auto"/>
            <w:noWrap/>
            <w:vAlign w:val="center"/>
            <w:hideMark/>
          </w:tcPr>
          <w:p w14:paraId="253A6C0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4,47</w:t>
            </w:r>
          </w:p>
        </w:tc>
      </w:tr>
      <w:tr w:rsidR="00743989" w:rsidRPr="00445E18" w14:paraId="1147C9B0" w14:textId="77777777" w:rsidTr="00ED6611">
        <w:trPr>
          <w:trHeight w:val="397"/>
          <w:jc w:val="center"/>
        </w:trPr>
        <w:tc>
          <w:tcPr>
            <w:tcW w:w="2138" w:type="dxa"/>
            <w:tcBorders>
              <w:top w:val="nil"/>
              <w:left w:val="nil"/>
              <w:bottom w:val="nil"/>
              <w:right w:val="single" w:sz="4" w:space="0" w:color="auto"/>
            </w:tcBorders>
            <w:shd w:val="clear" w:color="auto" w:fill="auto"/>
            <w:noWrap/>
            <w:vAlign w:val="center"/>
            <w:hideMark/>
          </w:tcPr>
          <w:p w14:paraId="4E2EBFA3"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Aluguéis e outras</w:t>
            </w:r>
          </w:p>
        </w:tc>
        <w:tc>
          <w:tcPr>
            <w:tcW w:w="978" w:type="dxa"/>
            <w:tcBorders>
              <w:top w:val="nil"/>
              <w:left w:val="nil"/>
              <w:bottom w:val="nil"/>
              <w:right w:val="nil"/>
            </w:tcBorders>
            <w:shd w:val="clear" w:color="auto" w:fill="auto"/>
            <w:noWrap/>
            <w:vAlign w:val="center"/>
            <w:hideMark/>
          </w:tcPr>
          <w:p w14:paraId="727AC02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2,40</w:t>
            </w:r>
          </w:p>
        </w:tc>
        <w:tc>
          <w:tcPr>
            <w:tcW w:w="1073" w:type="dxa"/>
            <w:tcBorders>
              <w:top w:val="nil"/>
              <w:left w:val="nil"/>
              <w:bottom w:val="nil"/>
              <w:right w:val="nil"/>
            </w:tcBorders>
            <w:shd w:val="clear" w:color="auto" w:fill="auto"/>
            <w:noWrap/>
            <w:vAlign w:val="center"/>
            <w:hideMark/>
          </w:tcPr>
          <w:p w14:paraId="6A2AA69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1,42</w:t>
            </w:r>
          </w:p>
        </w:tc>
        <w:tc>
          <w:tcPr>
            <w:tcW w:w="1374" w:type="dxa"/>
            <w:tcBorders>
              <w:top w:val="nil"/>
              <w:left w:val="single" w:sz="4" w:space="0" w:color="auto"/>
              <w:bottom w:val="nil"/>
              <w:right w:val="nil"/>
            </w:tcBorders>
            <w:shd w:val="clear" w:color="auto" w:fill="auto"/>
            <w:noWrap/>
            <w:vAlign w:val="center"/>
            <w:hideMark/>
          </w:tcPr>
          <w:p w14:paraId="01466DB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0,219</w:t>
            </w:r>
          </w:p>
        </w:tc>
        <w:tc>
          <w:tcPr>
            <w:tcW w:w="1546" w:type="dxa"/>
            <w:tcBorders>
              <w:top w:val="nil"/>
              <w:left w:val="nil"/>
              <w:bottom w:val="nil"/>
              <w:right w:val="single" w:sz="4" w:space="0" w:color="auto"/>
            </w:tcBorders>
            <w:shd w:val="clear" w:color="auto" w:fill="auto"/>
            <w:noWrap/>
            <w:vAlign w:val="center"/>
            <w:hideMark/>
          </w:tcPr>
          <w:p w14:paraId="05EAC99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0,232</w:t>
            </w:r>
          </w:p>
        </w:tc>
        <w:tc>
          <w:tcPr>
            <w:tcW w:w="1612" w:type="dxa"/>
            <w:tcBorders>
              <w:top w:val="nil"/>
              <w:left w:val="nil"/>
              <w:bottom w:val="nil"/>
              <w:right w:val="nil"/>
            </w:tcBorders>
            <w:shd w:val="clear" w:color="auto" w:fill="auto"/>
            <w:noWrap/>
            <w:vAlign w:val="center"/>
            <w:hideMark/>
          </w:tcPr>
          <w:p w14:paraId="1B435DE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2,50</w:t>
            </w:r>
          </w:p>
        </w:tc>
        <w:tc>
          <w:tcPr>
            <w:tcW w:w="1118" w:type="dxa"/>
            <w:tcBorders>
              <w:top w:val="nil"/>
              <w:left w:val="nil"/>
              <w:bottom w:val="nil"/>
              <w:right w:val="single" w:sz="4" w:space="0" w:color="auto"/>
            </w:tcBorders>
            <w:shd w:val="clear" w:color="auto" w:fill="auto"/>
            <w:noWrap/>
            <w:vAlign w:val="center"/>
            <w:hideMark/>
          </w:tcPr>
          <w:p w14:paraId="0275211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1,67</w:t>
            </w:r>
          </w:p>
        </w:tc>
        <w:tc>
          <w:tcPr>
            <w:tcW w:w="1205" w:type="dxa"/>
            <w:tcBorders>
              <w:top w:val="nil"/>
              <w:left w:val="nil"/>
              <w:bottom w:val="nil"/>
              <w:right w:val="nil"/>
            </w:tcBorders>
            <w:shd w:val="clear" w:color="auto" w:fill="auto"/>
            <w:noWrap/>
            <w:vAlign w:val="center"/>
            <w:hideMark/>
          </w:tcPr>
          <w:p w14:paraId="628256B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1,72</w:t>
            </w:r>
          </w:p>
        </w:tc>
        <w:tc>
          <w:tcPr>
            <w:tcW w:w="913" w:type="dxa"/>
            <w:tcBorders>
              <w:top w:val="nil"/>
              <w:left w:val="nil"/>
              <w:bottom w:val="nil"/>
              <w:right w:val="nil"/>
            </w:tcBorders>
            <w:shd w:val="clear" w:color="auto" w:fill="auto"/>
            <w:noWrap/>
            <w:vAlign w:val="center"/>
            <w:hideMark/>
          </w:tcPr>
          <w:p w14:paraId="3D44876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-2,10</w:t>
            </w:r>
          </w:p>
        </w:tc>
        <w:tc>
          <w:tcPr>
            <w:tcW w:w="977" w:type="dxa"/>
            <w:tcBorders>
              <w:top w:val="nil"/>
              <w:left w:val="nil"/>
              <w:bottom w:val="nil"/>
              <w:right w:val="nil"/>
            </w:tcBorders>
            <w:shd w:val="clear" w:color="auto" w:fill="auto"/>
            <w:noWrap/>
            <w:vAlign w:val="center"/>
            <w:hideMark/>
          </w:tcPr>
          <w:p w14:paraId="090B4AF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-0,38</w:t>
            </w:r>
          </w:p>
        </w:tc>
      </w:tr>
      <w:tr w:rsidR="00743989" w:rsidRPr="00445E18" w14:paraId="22F80989" w14:textId="77777777" w:rsidTr="00ED6611">
        <w:trPr>
          <w:trHeight w:val="397"/>
          <w:jc w:val="center"/>
        </w:trPr>
        <w:tc>
          <w:tcPr>
            <w:tcW w:w="2138" w:type="dxa"/>
            <w:tcBorders>
              <w:top w:val="single" w:sz="4" w:space="0" w:color="auto"/>
              <w:left w:val="nil"/>
              <w:bottom w:val="single" w:sz="4" w:space="0" w:color="auto"/>
              <w:right w:val="nil"/>
            </w:tcBorders>
            <w:shd w:val="clear" w:color="auto" w:fill="auto"/>
            <w:noWrap/>
            <w:vAlign w:val="center"/>
            <w:hideMark/>
          </w:tcPr>
          <w:p w14:paraId="0A112441"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Total</w:t>
            </w:r>
          </w:p>
        </w:tc>
        <w:tc>
          <w:tcPr>
            <w:tcW w:w="978" w:type="dxa"/>
            <w:tcBorders>
              <w:top w:val="single" w:sz="4" w:space="0" w:color="auto"/>
              <w:left w:val="single" w:sz="4" w:space="0" w:color="auto"/>
              <w:bottom w:val="single" w:sz="4" w:space="0" w:color="auto"/>
              <w:right w:val="nil"/>
            </w:tcBorders>
            <w:shd w:val="clear" w:color="auto" w:fill="auto"/>
            <w:noWrap/>
            <w:vAlign w:val="center"/>
            <w:hideMark/>
          </w:tcPr>
          <w:p w14:paraId="4EA897B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100,00</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14:paraId="34D254D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100,00</w:t>
            </w:r>
          </w:p>
        </w:tc>
        <w:tc>
          <w:tcPr>
            <w:tcW w:w="1374" w:type="dxa"/>
            <w:tcBorders>
              <w:top w:val="single" w:sz="4" w:space="0" w:color="auto"/>
              <w:left w:val="nil"/>
              <w:bottom w:val="single" w:sz="4" w:space="0" w:color="auto"/>
              <w:right w:val="nil"/>
            </w:tcBorders>
            <w:shd w:val="clear" w:color="auto" w:fill="auto"/>
            <w:noWrap/>
            <w:vAlign w:val="center"/>
            <w:hideMark/>
          </w:tcPr>
          <w:p w14:paraId="040D05B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0,210</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02A0CF8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0,197</w:t>
            </w:r>
          </w:p>
        </w:tc>
        <w:tc>
          <w:tcPr>
            <w:tcW w:w="1612" w:type="dxa"/>
            <w:tcBorders>
              <w:top w:val="single" w:sz="4" w:space="0" w:color="auto"/>
              <w:left w:val="nil"/>
              <w:bottom w:val="single" w:sz="4" w:space="0" w:color="auto"/>
              <w:right w:val="nil"/>
            </w:tcBorders>
            <w:shd w:val="clear" w:color="auto" w:fill="auto"/>
            <w:noWrap/>
            <w:vAlign w:val="center"/>
            <w:hideMark/>
          </w:tcPr>
          <w:p w14:paraId="6E46B25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100,00</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14:paraId="2935230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100,00</w:t>
            </w:r>
          </w:p>
        </w:tc>
        <w:tc>
          <w:tcPr>
            <w:tcW w:w="1205" w:type="dxa"/>
            <w:tcBorders>
              <w:top w:val="single" w:sz="4" w:space="0" w:color="auto"/>
              <w:left w:val="nil"/>
              <w:bottom w:val="single" w:sz="4" w:space="0" w:color="auto"/>
              <w:right w:val="nil"/>
            </w:tcBorders>
            <w:shd w:val="clear" w:color="auto" w:fill="auto"/>
            <w:noWrap/>
            <w:vAlign w:val="center"/>
            <w:hideMark/>
          </w:tcPr>
          <w:p w14:paraId="768CB4F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-78,92</w:t>
            </w:r>
          </w:p>
        </w:tc>
        <w:tc>
          <w:tcPr>
            <w:tcW w:w="913" w:type="dxa"/>
            <w:tcBorders>
              <w:top w:val="single" w:sz="4" w:space="0" w:color="auto"/>
              <w:left w:val="nil"/>
              <w:bottom w:val="single" w:sz="4" w:space="0" w:color="auto"/>
              <w:right w:val="nil"/>
            </w:tcBorders>
            <w:shd w:val="clear" w:color="auto" w:fill="auto"/>
            <w:noWrap/>
            <w:vAlign w:val="center"/>
            <w:hideMark/>
          </w:tcPr>
          <w:p w14:paraId="0F06DB7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178,92</w:t>
            </w:r>
          </w:p>
        </w:tc>
        <w:tc>
          <w:tcPr>
            <w:tcW w:w="977" w:type="dxa"/>
            <w:tcBorders>
              <w:top w:val="single" w:sz="4" w:space="0" w:color="auto"/>
              <w:left w:val="nil"/>
              <w:bottom w:val="single" w:sz="4" w:space="0" w:color="auto"/>
              <w:right w:val="nil"/>
            </w:tcBorders>
            <w:shd w:val="clear" w:color="auto" w:fill="auto"/>
            <w:noWrap/>
            <w:vAlign w:val="center"/>
            <w:hideMark/>
          </w:tcPr>
          <w:p w14:paraId="151D5FF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100,00</w:t>
            </w:r>
          </w:p>
        </w:tc>
      </w:tr>
    </w:tbl>
    <w:p w14:paraId="20928F15"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r w:rsidRPr="00445E18">
        <w:rPr>
          <w:rFonts w:ascii="Times New Roman" w:hAnsi="Times New Roman" w:cs="Times New Roman"/>
          <w:b/>
          <w:color w:val="000000" w:themeColor="text1"/>
          <w:sz w:val="20"/>
          <w:szCs w:val="20"/>
        </w:rPr>
        <w:t xml:space="preserve">            Fonte: </w:t>
      </w:r>
      <w:r w:rsidRPr="00445E18">
        <w:rPr>
          <w:rFonts w:ascii="Times New Roman" w:hAnsi="Times New Roman" w:cs="Times New Roman"/>
          <w:color w:val="000000" w:themeColor="text1"/>
          <w:sz w:val="20"/>
          <w:szCs w:val="20"/>
        </w:rPr>
        <w:t>elaboração própria com base nos microdados da PNAD/IBGE.</w:t>
      </w:r>
    </w:p>
    <w:p w14:paraId="3187E8F4"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sectPr w:rsidR="00743989" w:rsidRPr="00445E18" w:rsidSect="003C3441">
          <w:pgSz w:w="16838" w:h="11906" w:orient="landscape"/>
          <w:pgMar w:top="1701" w:right="1701" w:bottom="1701" w:left="1701" w:header="709" w:footer="709" w:gutter="0"/>
          <w:cols w:space="708"/>
          <w:docGrid w:linePitch="360"/>
        </w:sectPr>
      </w:pPr>
    </w:p>
    <w:p w14:paraId="4600A7B1" w14:textId="4E1D0DCD" w:rsidR="00743989" w:rsidRPr="00445E18" w:rsidRDefault="00061240" w:rsidP="003C3441">
      <w:pPr>
        <w:spacing w:after="0" w:line="360" w:lineRule="auto"/>
        <w:jc w:val="both"/>
        <w:rPr>
          <w:rFonts w:ascii="Times New Roman" w:hAnsi="Times New Roman" w:cs="Times New Roman"/>
          <w:b/>
          <w:color w:val="000000" w:themeColor="text1"/>
          <w:sz w:val="24"/>
          <w:szCs w:val="24"/>
        </w:rPr>
      </w:pPr>
      <w:r w:rsidRPr="00445E18">
        <w:rPr>
          <w:rFonts w:ascii="Times New Roman" w:hAnsi="Times New Roman" w:cs="Times New Roman"/>
          <w:b/>
          <w:color w:val="000000" w:themeColor="text1"/>
          <w:sz w:val="24"/>
          <w:szCs w:val="24"/>
        </w:rPr>
        <w:lastRenderedPageBreak/>
        <w:t>4</w:t>
      </w:r>
      <w:r w:rsidR="00743989" w:rsidRPr="00445E18">
        <w:rPr>
          <w:rFonts w:ascii="Times New Roman" w:hAnsi="Times New Roman" w:cs="Times New Roman"/>
          <w:b/>
          <w:color w:val="000000" w:themeColor="text1"/>
          <w:sz w:val="24"/>
          <w:szCs w:val="24"/>
        </w:rPr>
        <w:t>. Sensibilidade da desigualdade regional de renda a variações nas fontes de renda</w:t>
      </w:r>
    </w:p>
    <w:p w14:paraId="222DFCFB"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594EEE31" w14:textId="113840AD"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As evidências apresentadas nas seções anteriores permitem apreender o papel das diferentes fontes de renda </w:t>
      </w:r>
      <w:r w:rsidR="0087783C" w:rsidRPr="00445E18">
        <w:rPr>
          <w:rFonts w:ascii="Times New Roman" w:hAnsi="Times New Roman" w:cs="Times New Roman"/>
          <w:color w:val="000000" w:themeColor="text1"/>
          <w:sz w:val="24"/>
          <w:szCs w:val="24"/>
        </w:rPr>
        <w:t xml:space="preserve">associadas aos diferentes níveis de escolaridade </w:t>
      </w:r>
      <w:r w:rsidRPr="00445E18">
        <w:rPr>
          <w:rFonts w:ascii="Times New Roman" w:hAnsi="Times New Roman" w:cs="Times New Roman"/>
          <w:color w:val="000000" w:themeColor="text1"/>
          <w:sz w:val="24"/>
          <w:szCs w:val="24"/>
        </w:rPr>
        <w:t>na redução da desigualdade regional de renda, medida pelo índice de Gini, entre os anos de 1995 e 2011. Dadas as estruturas produtivas dos estados nestes dois anos, é possível também obter medidas da influência de variações marginais em cada uma das diferentes fontes de renda sobre o nível de desigualdade regional de renda. Isto permite não só conhecer para o ano mais recente (2011) quais as perspectivas de reduções adicionais da desigualdade a partir de variações em cada fronte de renda, como comparar a eficiência relativa destas diferentes fontes com respeito à redução desta desigualdade. O objetivo desta seção é, assim, obter medidas da sensibilidade da desigualdade regional de renda entre as unidades federativas do país em relação a variações em cada fonte de renda</w:t>
      </w:r>
      <w:r w:rsidR="0087783C" w:rsidRPr="00445E18">
        <w:rPr>
          <w:rFonts w:ascii="Times New Roman" w:hAnsi="Times New Roman" w:cs="Times New Roman"/>
          <w:color w:val="000000" w:themeColor="text1"/>
          <w:sz w:val="24"/>
          <w:szCs w:val="24"/>
        </w:rPr>
        <w:t xml:space="preserve"> associada aos diferentes níveis de escolaridade</w:t>
      </w:r>
      <w:r w:rsidRPr="00445E18">
        <w:rPr>
          <w:rFonts w:ascii="Times New Roman" w:hAnsi="Times New Roman" w:cs="Times New Roman"/>
          <w:color w:val="000000" w:themeColor="text1"/>
          <w:sz w:val="24"/>
          <w:szCs w:val="24"/>
        </w:rPr>
        <w:t xml:space="preserve">. Isto é, obtêm-se estimativas da elasticidade do índice de Gini em relação a cada fonte de renda. Num esforço complementar, aplicando-se uma decomposição de Shapley, discutem-se os papeis de diferentes fatores na variação das elasticidades de cada fonte de renda entre os anos de 1995 e 2011. </w:t>
      </w:r>
    </w:p>
    <w:p w14:paraId="4414B2CE" w14:textId="77777777" w:rsidR="00743989" w:rsidRPr="00445E18" w:rsidRDefault="00743989" w:rsidP="003C3441">
      <w:pPr>
        <w:spacing w:after="0" w:line="360" w:lineRule="auto"/>
        <w:ind w:firstLine="708"/>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 A partir de uma decomposição alternativa do índice de Gini, é possível estudar  diretamente a influência dos níveis de desigualdade de cada fonte renda, apreendidos por respectivos índices de Gini, sobre a evolução da desigualdade regional de renda total. Neste sentido, seguindo Leman e Yitzhaki (1985), o primeiro passo é escrever o índice de Gini na forma:</w:t>
      </w:r>
    </w:p>
    <w:p w14:paraId="691C5CFA" w14:textId="77777777" w:rsidR="00743989" w:rsidRPr="00445E18" w:rsidRDefault="00743989" w:rsidP="003C3441">
      <w:pPr>
        <w:spacing w:after="0" w:line="360" w:lineRule="auto"/>
        <w:ind w:firstLine="708"/>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 </w:t>
      </w:r>
    </w:p>
    <w:p w14:paraId="0027E25A"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G=</m:t>
        </m:r>
        <m:r>
          <m:rPr>
            <m:sty m:val="p"/>
          </m:rPr>
          <w:rPr>
            <w:rFonts w:ascii="Cambria Math" w:eastAsiaTheme="minorEastAsia" w:hAnsi="Cambria Math" w:cs="Times New Roman"/>
            <w:color w:val="000000" w:themeColor="text1"/>
            <w:sz w:val="24"/>
            <w:szCs w:val="24"/>
          </w:rPr>
          <m:t xml:space="preserve"> </m:t>
        </m:r>
        <m:nary>
          <m:naryPr>
            <m:chr m:val="∑"/>
            <m:limLoc m:val="undOvr"/>
            <m:ctrlPr>
              <w:rPr>
                <w:rFonts w:ascii="Cambria Math" w:eastAsiaTheme="minorEastAsia" w:hAnsi="Cambria Math" w:cs="Times New Roman"/>
                <w:color w:val="000000" w:themeColor="text1"/>
                <w:sz w:val="24"/>
                <w:szCs w:val="24"/>
              </w:rPr>
            </m:ctrlPr>
          </m:naryPr>
          <m:sub>
            <m:r>
              <w:rPr>
                <w:rFonts w:ascii="Cambria Math" w:hAnsi="Cambria Math" w:cs="Times New Roman"/>
                <w:color w:val="000000" w:themeColor="text1"/>
                <w:sz w:val="24"/>
                <w:szCs w:val="24"/>
              </w:rPr>
              <m:t>f</m:t>
            </m:r>
            <m:r>
              <w:rPr>
                <w:rFonts w:ascii="Cambria Math" w:eastAsiaTheme="minorEastAsia" w:hAnsi="Cambria Math" w:cs="Times New Roman"/>
                <w:color w:val="000000" w:themeColor="text1"/>
                <w:sz w:val="24"/>
                <w:szCs w:val="24"/>
              </w:rPr>
              <m:t>=1</m:t>
            </m:r>
          </m:sub>
          <m:sup>
            <m:r>
              <w:rPr>
                <w:rFonts w:ascii="Cambria Math" w:eastAsiaTheme="minorEastAsia" w:hAnsi="Cambria Math" w:cs="Times New Roman"/>
                <w:color w:val="000000" w:themeColor="text1"/>
                <w:sz w:val="24"/>
                <w:szCs w:val="24"/>
              </w:rPr>
              <m:t>N</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(9)                    </w:t>
      </w:r>
    </w:p>
    <w:p w14:paraId="15235005"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                                                              </w:t>
      </w:r>
    </w:p>
    <w:p w14:paraId="06C18193"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Onde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 Cov</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y</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,F</m:t>
            </m:r>
          </m:e>
        </m:d>
        <m:r>
          <w:rPr>
            <w:rFonts w:ascii="Cambria Math" w:eastAsiaTheme="minorEastAsia" w:hAnsi="Cambria Math" w:cs="Times New Roman"/>
            <w:color w:val="000000" w:themeColor="text1"/>
            <w:sz w:val="24"/>
            <w:szCs w:val="24"/>
          </w:rPr>
          <m:t>/Cov</m:t>
        </m:r>
        <m:d>
          <m:dPr>
            <m:ctrlPr>
              <w:rPr>
                <w:rFonts w:ascii="Cambria Math" w:eastAsiaTheme="minorEastAsia"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y</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F</m:t>
                </m:r>
              </m:e>
              <m:sub>
                <m:r>
                  <w:rPr>
                    <w:rFonts w:ascii="Cambria Math" w:eastAsiaTheme="minorEastAsia" w:hAnsi="Cambria Math" w:cs="Times New Roman"/>
                    <w:color w:val="000000" w:themeColor="text1"/>
                    <w:sz w:val="24"/>
                    <w:szCs w:val="24"/>
                  </w:rPr>
                  <m:t>f</m:t>
                </m:r>
              </m:sub>
            </m:sSub>
          </m:e>
        </m:d>
      </m:oMath>
      <w:r w:rsidRPr="00445E1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é o índice de Gini da fonte de renda </w:t>
      </w:r>
      <w:r w:rsidRPr="00445E18">
        <w:rPr>
          <w:rFonts w:ascii="Times New Roman" w:eastAsiaTheme="minorEastAsia" w:hAnsi="Times New Roman" w:cs="Times New Roman"/>
          <w:i/>
          <w:color w:val="000000" w:themeColor="text1"/>
          <w:sz w:val="24"/>
          <w:szCs w:val="24"/>
        </w:rPr>
        <w:t>f</w:t>
      </w:r>
      <w:r w:rsidRPr="00445E18">
        <w:rPr>
          <w:rFonts w:ascii="Times New Roman" w:eastAsiaTheme="minorEastAsia" w:hAnsi="Times New Roman" w:cs="Times New Roman"/>
          <w:color w:val="000000" w:themeColor="text1"/>
          <w:sz w:val="24"/>
          <w:szCs w:val="24"/>
        </w:rPr>
        <w:t xml:space="preserve"> 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corresponde, como antes, à participação desta fonte de renda na renda total. O termo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que corresponde à razão entre a covariância entre a renda da fonte </w:t>
      </w:r>
      <w:r w:rsidRPr="00445E18">
        <w:rPr>
          <w:rFonts w:ascii="Times New Roman" w:eastAsiaTheme="minorEastAsia" w:hAnsi="Times New Roman" w:cs="Times New Roman"/>
          <w:i/>
          <w:color w:val="000000" w:themeColor="text1"/>
          <w:sz w:val="24"/>
          <w:szCs w:val="24"/>
        </w:rPr>
        <w:t>f</w:t>
      </w:r>
      <w:r w:rsidRPr="00445E18">
        <w:rPr>
          <w:rFonts w:ascii="Times New Roman" w:eastAsiaTheme="minorEastAsia" w:hAnsi="Times New Roman" w:cs="Times New Roman"/>
          <w:color w:val="000000" w:themeColor="text1"/>
          <w:sz w:val="24"/>
          <w:szCs w:val="24"/>
        </w:rPr>
        <w:t xml:space="preserve"> e a função de distribuição acumulada total, denotada por </w:t>
      </w:r>
      <w:r w:rsidRPr="00445E18">
        <w:rPr>
          <w:rFonts w:ascii="Times New Roman" w:eastAsiaTheme="minorEastAsia" w:hAnsi="Times New Roman" w:cs="Times New Roman"/>
          <w:i/>
          <w:color w:val="000000" w:themeColor="text1"/>
          <w:sz w:val="24"/>
          <w:szCs w:val="24"/>
        </w:rPr>
        <w:t>F</w:t>
      </w:r>
      <w:r w:rsidRPr="00445E18">
        <w:rPr>
          <w:rFonts w:ascii="Times New Roman" w:eastAsiaTheme="minorEastAsia" w:hAnsi="Times New Roman" w:cs="Times New Roman"/>
          <w:color w:val="000000" w:themeColor="text1"/>
          <w:sz w:val="24"/>
          <w:szCs w:val="24"/>
        </w:rPr>
        <w:t xml:space="preserve">, e a covariância entre a renda da fonte </w:t>
      </w:r>
      <w:r w:rsidRPr="00445E18">
        <w:rPr>
          <w:rFonts w:ascii="Times New Roman" w:eastAsiaTheme="minorEastAsia" w:hAnsi="Times New Roman" w:cs="Times New Roman"/>
          <w:i/>
          <w:color w:val="000000" w:themeColor="text1"/>
          <w:sz w:val="24"/>
          <w:szCs w:val="24"/>
        </w:rPr>
        <w:t>f</w:t>
      </w:r>
      <w:r w:rsidRPr="00445E18">
        <w:rPr>
          <w:rFonts w:ascii="Times New Roman" w:eastAsiaTheme="minorEastAsia" w:hAnsi="Times New Roman" w:cs="Times New Roman"/>
          <w:color w:val="000000" w:themeColor="text1"/>
          <w:sz w:val="24"/>
          <w:szCs w:val="24"/>
        </w:rPr>
        <w:t xml:space="preserve"> e </w:t>
      </w:r>
      <w:r w:rsidRPr="00445E18">
        <w:rPr>
          <w:rFonts w:ascii="Times New Roman" w:eastAsiaTheme="minorEastAsia" w:hAnsi="Times New Roman" w:cs="Times New Roman"/>
          <w:color w:val="000000" w:themeColor="text1"/>
          <w:sz w:val="24"/>
          <w:szCs w:val="24"/>
        </w:rPr>
        <w:lastRenderedPageBreak/>
        <w:t xml:space="preserve">sua função de distribuição acumulada,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F</m:t>
            </m:r>
          </m:e>
          <m:sub>
            <m:r>
              <w:rPr>
                <w:rFonts w:ascii="Cambria Math" w:eastAsiaTheme="minorEastAsia"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expressa uma medida de correlação entre as distribuições da fonte específica </w:t>
      </w:r>
      <w:r w:rsidRPr="00445E18">
        <w:rPr>
          <w:rFonts w:ascii="Times New Roman" w:eastAsiaTheme="minorEastAsia" w:hAnsi="Times New Roman" w:cs="Times New Roman"/>
          <w:i/>
          <w:color w:val="000000" w:themeColor="text1"/>
          <w:sz w:val="24"/>
          <w:szCs w:val="24"/>
        </w:rPr>
        <w:t>f</w:t>
      </w:r>
      <w:r w:rsidRPr="00445E18">
        <w:rPr>
          <w:rFonts w:ascii="Times New Roman" w:eastAsiaTheme="minorEastAsia" w:hAnsi="Times New Roman" w:cs="Times New Roman"/>
          <w:color w:val="000000" w:themeColor="text1"/>
          <w:sz w:val="24"/>
          <w:szCs w:val="24"/>
        </w:rPr>
        <w:t xml:space="preserve"> de renda e da renda total</w:t>
      </w:r>
      <w:r w:rsidRPr="00445E18">
        <w:rPr>
          <w:rStyle w:val="FootnoteReference"/>
          <w:rFonts w:ascii="Times New Roman" w:eastAsiaTheme="minorEastAsia" w:hAnsi="Times New Roman" w:cs="Times New Roman"/>
          <w:color w:val="000000" w:themeColor="text1"/>
          <w:sz w:val="24"/>
          <w:szCs w:val="24"/>
        </w:rPr>
        <w:footnoteReference w:id="5"/>
      </w:r>
      <w:r w:rsidRPr="00445E18">
        <w:rPr>
          <w:rFonts w:ascii="Times New Roman" w:eastAsiaTheme="minorEastAsia" w:hAnsi="Times New Roman" w:cs="Times New Roman"/>
          <w:color w:val="000000" w:themeColor="text1"/>
          <w:sz w:val="24"/>
          <w:szCs w:val="24"/>
        </w:rPr>
        <w:t>.</w:t>
      </w:r>
    </w:p>
    <w:p w14:paraId="48949742"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Como bem colocam Silveira Neto e Azzoni (2012), na expressão acima, o índice de Gini se torna uma agregação de índices de Gini individuais para cada fonte de renda, ponderados pela participação na renda total e pelo valor 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Desta forma, um determinado nível de desigualdade na distribuição de uma fonte de renda </w:t>
      </w:r>
      <w:r w:rsidRPr="00445E18">
        <w:rPr>
          <w:rFonts w:ascii="Times New Roman" w:hAnsi="Times New Roman" w:cs="Times New Roman"/>
          <w:i/>
          <w:color w:val="000000" w:themeColor="text1"/>
          <w:sz w:val="24"/>
          <w:szCs w:val="24"/>
        </w:rPr>
        <w:t xml:space="preserve">f </w:t>
      </w:r>
      <w:r w:rsidRPr="00445E18">
        <w:rPr>
          <w:rFonts w:ascii="Times New Roman" w:hAnsi="Times New Roman" w:cs="Times New Roman"/>
          <w:color w:val="000000" w:themeColor="text1"/>
          <w:sz w:val="24"/>
          <w:szCs w:val="24"/>
        </w:rPr>
        <w:t xml:space="preserve">(determinado valor de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terá tanto mais influência no nível de desigualdade final quanto maiores forem os valores de sua participação,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m:t>
        </m:r>
      </m:oMath>
      <w:r w:rsidRPr="00445E18">
        <w:rPr>
          <w:rFonts w:ascii="Times New Roman" w:hAnsi="Times New Roman" w:cs="Times New Roman"/>
          <w:color w:val="000000" w:themeColor="text1"/>
          <w:sz w:val="24"/>
          <w:szCs w:val="24"/>
        </w:rPr>
        <w:t xml:space="preserve"> e da correlação entre a distribuição desta fonte de renda e a distribuição da renda total,</w:t>
      </w:r>
      <m:oMath>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Note-se, também, que valores positivos (negativos) 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 xml:space="preserve"> </m:t>
        </m:r>
      </m:oMath>
      <w:r w:rsidRPr="00445E18">
        <w:rPr>
          <w:rFonts w:ascii="Times New Roman" w:hAnsi="Times New Roman" w:cs="Times New Roman"/>
          <w:color w:val="000000" w:themeColor="text1"/>
          <w:sz w:val="24"/>
          <w:szCs w:val="24"/>
        </w:rPr>
        <w:t xml:space="preserve">indicam que a fonte de renda </w:t>
      </w:r>
      <w:r w:rsidRPr="00445E18">
        <w:rPr>
          <w:rFonts w:ascii="Times New Roman" w:hAnsi="Times New Roman" w:cs="Times New Roman"/>
          <w:i/>
          <w:color w:val="000000" w:themeColor="text1"/>
          <w:sz w:val="24"/>
          <w:szCs w:val="24"/>
        </w:rPr>
        <w:t>f</w:t>
      </w:r>
      <w:r w:rsidRPr="00445E18">
        <w:rPr>
          <w:rFonts w:ascii="Times New Roman" w:hAnsi="Times New Roman" w:cs="Times New Roman"/>
          <w:color w:val="000000" w:themeColor="text1"/>
          <w:sz w:val="24"/>
          <w:szCs w:val="24"/>
        </w:rPr>
        <w:t xml:space="preserve"> contribui para um aumento (redução) do coeficiente de Gini da distribuição da renda total e que, assim, elevações (diminuições) da desigualdade na distribuição da fonte de renda (aumentos (diminuições) de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de implicam elevações da desigualdade na distribuição da renda total. Valores extremos 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 xml:space="preserve">(próximos de um) indicam, além disto, que a desigualdade na distribuição da fonte de renda </w:t>
      </w:r>
      <w:r w:rsidRPr="00445E18">
        <w:rPr>
          <w:rFonts w:ascii="Times New Roman" w:hAnsi="Times New Roman" w:cs="Times New Roman"/>
          <w:i/>
          <w:color w:val="000000" w:themeColor="text1"/>
          <w:sz w:val="24"/>
          <w:szCs w:val="24"/>
        </w:rPr>
        <w:t>f</w:t>
      </w:r>
      <w:r w:rsidRPr="00445E18">
        <w:rPr>
          <w:rFonts w:ascii="Times New Roman" w:hAnsi="Times New Roman" w:cs="Times New Roman"/>
          <w:color w:val="000000" w:themeColor="text1"/>
          <w:sz w:val="24"/>
          <w:szCs w:val="24"/>
        </w:rPr>
        <w:t xml:space="preserve"> (captada pelo valor de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se aproxima da desigualdade na distribuição da renda total.</w:t>
      </w:r>
    </w:p>
    <w:p w14:paraId="077BAD7B"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Como mostraram, pioneiramente, Leman e Yitzahki (1985), partindo-se da equação (9), é possível obter a elasticidade do índice de Gini para a distribuição da renda total em relação a variações nas fontes de renda da seguinte forma:</w:t>
      </w:r>
    </w:p>
    <w:p w14:paraId="2EBAFFF5"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56FA1D4A" w14:textId="02092DC8" w:rsidR="00743989" w:rsidRPr="00445E18" w:rsidRDefault="005D7F30" w:rsidP="003C3441">
      <w:pPr>
        <w:spacing w:after="0" w:line="360" w:lineRule="auto"/>
        <w:ind w:firstLine="709"/>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m:t>
                </m:r>
              </m:sub>
            </m:sSub>
          </m:sub>
        </m:sSub>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f</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m:t>
            </m:r>
          </m:num>
          <m:den>
            <m:r>
              <w:rPr>
                <w:rFonts w:ascii="Cambria Math" w:hAnsi="Cambria Math" w:cs="Times New Roman"/>
                <w:color w:val="000000" w:themeColor="text1"/>
                <w:sz w:val="24"/>
                <w:szCs w:val="24"/>
              </w:rPr>
              <m:t>G</m:t>
            </m:r>
          </m:den>
        </m:f>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00743989" w:rsidRPr="00445E18">
        <w:rPr>
          <w:rFonts w:ascii="Times New Roman" w:eastAsiaTheme="minorEastAsia" w:hAnsi="Times New Roman" w:cs="Times New Roman"/>
          <w:color w:val="000000" w:themeColor="text1"/>
          <w:sz w:val="24"/>
          <w:szCs w:val="24"/>
        </w:rPr>
        <w:t xml:space="preserve">                                                </w:t>
      </w:r>
      <w:r w:rsidR="0087783C" w:rsidRPr="00445E18">
        <w:rPr>
          <w:rFonts w:ascii="Times New Roman" w:eastAsiaTheme="minorEastAsia" w:hAnsi="Times New Roman" w:cs="Times New Roman"/>
          <w:color w:val="000000" w:themeColor="text1"/>
          <w:sz w:val="24"/>
          <w:szCs w:val="24"/>
        </w:rPr>
        <w:t xml:space="preserve">                      </w:t>
      </w:r>
      <w:r w:rsidR="00743989" w:rsidRPr="00445E18">
        <w:rPr>
          <w:rFonts w:ascii="Times New Roman" w:eastAsiaTheme="minorEastAsia" w:hAnsi="Times New Roman" w:cs="Times New Roman"/>
          <w:color w:val="000000" w:themeColor="text1"/>
          <w:sz w:val="24"/>
          <w:szCs w:val="24"/>
        </w:rPr>
        <w:t>(10)</w:t>
      </w:r>
    </w:p>
    <w:p w14:paraId="54427E11" w14:textId="77777777" w:rsidR="00743989" w:rsidRPr="00445E18" w:rsidRDefault="00743989" w:rsidP="003C3441">
      <w:pPr>
        <w:spacing w:after="0" w:line="360" w:lineRule="auto"/>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E, como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f</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f</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G</m:t>
                </m:r>
              </m:e>
              <m:sub>
                <m:r>
                  <w:rPr>
                    <w:rFonts w:ascii="Cambria Math" w:eastAsiaTheme="minorEastAsia" w:hAnsi="Cambria Math" w:cs="Times New Roman"/>
                    <w:color w:val="000000" w:themeColor="text1"/>
                    <w:sz w:val="24"/>
                    <w:szCs w:val="24"/>
                  </w:rPr>
                  <m:t>f</m:t>
                </m:r>
              </m:sub>
            </m:sSub>
          </m:den>
        </m:f>
      </m:oMath>
      <w:r w:rsidRPr="00445E18">
        <w:rPr>
          <w:rFonts w:ascii="Times New Roman" w:eastAsiaTheme="minorEastAsia" w:hAnsi="Times New Roman" w:cs="Times New Roman"/>
          <w:color w:val="000000" w:themeColor="text1"/>
          <w:sz w:val="24"/>
          <w:szCs w:val="24"/>
        </w:rPr>
        <w:t>,</w:t>
      </w:r>
    </w:p>
    <w:p w14:paraId="15EB3862" w14:textId="437904A7" w:rsidR="00743989" w:rsidRPr="00445E18" w:rsidRDefault="005D7F30" w:rsidP="003C3441">
      <w:pPr>
        <w:spacing w:after="0" w:line="360" w:lineRule="auto"/>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m:t>
                </m:r>
              </m:sub>
            </m:sSub>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-1</m:t>
                </m:r>
              </m:sup>
            </m:sSup>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00743989" w:rsidRPr="00445E18">
        <w:rPr>
          <w:rFonts w:ascii="Times New Roman" w:eastAsiaTheme="minorEastAsia" w:hAnsi="Times New Roman" w:cs="Times New Roman"/>
          <w:color w:val="000000" w:themeColor="text1"/>
          <w:sz w:val="24"/>
          <w:szCs w:val="24"/>
        </w:rPr>
        <w:t xml:space="preserve">                                          </w:t>
      </w:r>
      <w:r w:rsidR="0087783C" w:rsidRPr="00445E18">
        <w:rPr>
          <w:rFonts w:ascii="Times New Roman" w:eastAsiaTheme="minorEastAsia" w:hAnsi="Times New Roman" w:cs="Times New Roman"/>
          <w:color w:val="000000" w:themeColor="text1"/>
          <w:sz w:val="24"/>
          <w:szCs w:val="24"/>
        </w:rPr>
        <w:t xml:space="preserve">                      </w:t>
      </w:r>
      <w:r w:rsidR="00743989" w:rsidRPr="00445E18">
        <w:rPr>
          <w:rFonts w:ascii="Times New Roman" w:eastAsiaTheme="minorEastAsia" w:hAnsi="Times New Roman" w:cs="Times New Roman"/>
          <w:color w:val="000000" w:themeColor="text1"/>
          <w:sz w:val="24"/>
          <w:szCs w:val="24"/>
        </w:rPr>
        <w:t>(11)</w:t>
      </w:r>
    </w:p>
    <w:p w14:paraId="7BDEB1C8"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29574FFA" w14:textId="77777777" w:rsidR="00743989" w:rsidRPr="00445E18" w:rsidRDefault="00743989" w:rsidP="003C3441">
      <w:pPr>
        <w:spacing w:after="0" w:line="360" w:lineRule="auto"/>
        <w:jc w:val="both"/>
        <w:rPr>
          <w:rFonts w:ascii="Times New Roman" w:eastAsiaTheme="minorEastAsia" w:hAnsi="Times New Roman" w:cs="Times New Roman"/>
          <w:i/>
          <w:color w:val="000000" w:themeColor="text1"/>
          <w:sz w:val="24"/>
          <w:szCs w:val="24"/>
        </w:rPr>
      </w:pPr>
      <w:r w:rsidRPr="00445E18">
        <w:rPr>
          <w:rFonts w:ascii="Times New Roman" w:eastAsiaTheme="minorEastAsia" w:hAnsi="Times New Roman" w:cs="Times New Roman"/>
          <w:color w:val="000000" w:themeColor="text1"/>
          <w:sz w:val="24"/>
          <w:szCs w:val="24"/>
        </w:rPr>
        <w:t xml:space="preserve">Onde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m:t>
                </m:r>
              </m:sub>
            </m:sSub>
          </m:sub>
        </m:sSub>
      </m:oMath>
      <w:r w:rsidRPr="00445E18">
        <w:rPr>
          <w:rFonts w:ascii="Times New Roman" w:eastAsiaTheme="minorEastAsia" w:hAnsi="Times New Roman" w:cs="Times New Roman"/>
          <w:color w:val="000000" w:themeColor="text1"/>
          <w:sz w:val="24"/>
          <w:szCs w:val="24"/>
        </w:rPr>
        <w:t xml:space="preserve"> corresponde à elasticidade do índice de Gini da distribuição da renda total em relação à fonte de renda específica </w:t>
      </w:r>
      <w:r w:rsidRPr="00445E18">
        <w:rPr>
          <w:rFonts w:ascii="Times New Roman" w:eastAsiaTheme="minorEastAsia" w:hAnsi="Times New Roman" w:cs="Times New Roman"/>
          <w:i/>
          <w:color w:val="000000" w:themeColor="text1"/>
          <w:sz w:val="24"/>
          <w:szCs w:val="24"/>
        </w:rPr>
        <w:t xml:space="preserve">f. </w:t>
      </w:r>
    </w:p>
    <w:p w14:paraId="15A3E94A" w14:textId="77777777" w:rsidR="00743989" w:rsidRPr="00445E18" w:rsidRDefault="00743989" w:rsidP="003C3441">
      <w:pPr>
        <w:spacing w:after="0" w:line="360" w:lineRule="auto"/>
        <w:ind w:firstLine="708"/>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A expressão obtida por estes autores mostra que a elasticidade da desigualdade em relação a cada fonte de renda depende positivamente do quanto uma fonte de renda </w:t>
      </w:r>
      <w:r w:rsidRPr="00445E18">
        <w:rPr>
          <w:rFonts w:ascii="Times New Roman" w:eastAsiaTheme="minorEastAsia" w:hAnsi="Times New Roman" w:cs="Times New Roman"/>
          <w:color w:val="000000" w:themeColor="text1"/>
          <w:sz w:val="24"/>
          <w:szCs w:val="24"/>
        </w:rPr>
        <w:lastRenderedPageBreak/>
        <w:t xml:space="preserve">está distribuída pró estado rico ou pobre (ou seja, do Coeficiente de Concentração,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da participação desta fonte na renda total e negativamente do próprio nível de desigualdade total (</w:t>
      </w:r>
      <w:r w:rsidRPr="00445E18">
        <w:rPr>
          <w:rFonts w:ascii="Times New Roman" w:eastAsiaTheme="minorEastAsia" w:hAnsi="Times New Roman" w:cs="Times New Roman"/>
          <w:i/>
          <w:color w:val="000000" w:themeColor="text1"/>
          <w:sz w:val="24"/>
          <w:szCs w:val="24"/>
        </w:rPr>
        <w:t>G</w:t>
      </w:r>
      <w:r w:rsidRPr="00445E18">
        <w:rPr>
          <w:rFonts w:ascii="Times New Roman" w:eastAsiaTheme="minorEastAsia" w:hAnsi="Times New Roman" w:cs="Times New Roman"/>
          <w:color w:val="000000" w:themeColor="text1"/>
          <w:sz w:val="24"/>
          <w:szCs w:val="24"/>
        </w:rPr>
        <w:t xml:space="preserve">). Assim, por exemplo, fontes de renda com valores negativos para o Coeficiente de Concentração sempre terão valores negativos para a elasticidade: aumentos específicos destas fontes de renda sempre diminuem a desigualdade regional, influências que serão maiores quanto menor for a desigualdade da distribuição da renda total. Finalmente, o efeito da participação na renda total,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sobre a desigualdade está na dependência do valor do Coeficiente de Concentração,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xml:space="preserve">, em relação ao índice de Gini, </w:t>
      </w:r>
      <w:r w:rsidRPr="00445E18">
        <w:rPr>
          <w:rFonts w:ascii="Times New Roman" w:eastAsiaTheme="minorEastAsia" w:hAnsi="Times New Roman" w:cs="Times New Roman"/>
          <w:i/>
          <w:color w:val="000000" w:themeColor="text1"/>
          <w:sz w:val="24"/>
          <w:szCs w:val="24"/>
        </w:rPr>
        <w:t xml:space="preserve">G. </w:t>
      </w:r>
      <w:r w:rsidRPr="00445E18">
        <w:rPr>
          <w:rFonts w:ascii="Times New Roman" w:eastAsiaTheme="minorEastAsia" w:hAnsi="Times New Roman" w:cs="Times New Roman"/>
          <w:color w:val="000000" w:themeColor="text1"/>
          <w:sz w:val="24"/>
          <w:szCs w:val="24"/>
        </w:rPr>
        <w:t>Neste sentido, para uma fonte de renda altamente concentrada nos estados ricos, por exemplo, a relação entre seus níveis de participação e o valor da elasticidade será positiva.</w:t>
      </w:r>
    </w:p>
    <w:p w14:paraId="4C396997"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Nas colunas (1), (2) e (3) da tabela 4, apresentada a seguir, são registradas as elasticidades da desigualdade da distribuição regional da renda total em relação a cada fonte de renda para os anos de 1995 e 2011, bem como as variações destas elasticidades neste período. </w:t>
      </w:r>
    </w:p>
    <w:p w14:paraId="2D59B4BA" w14:textId="77777777" w:rsidR="0087783C"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Dentre as fontes de renda do trabalho, há um claro destaque para a fonte de renda das pessoas com nível superior completo (Escol5). Tal fonte de renda apresenta os maiores valores da elasticidade nos dois anos analisados, bem como maior variação da elasticidade no período. Mais especificamente, o valor obtido para elasticidade desta fonte de renda em 2011 indica que um aumento de 1% da renda das pessoas com nível superior completo estava associada a um aumento do índice de Gini da distribuição da renda total de cerca de 14,6%. Além disto, a elevação da elasticidade desta fonte de renda entre 1995 e 2011 (em mais de 100%) indica que, em 2011, a desigualdade regional brasileira passou a ser ainda mais sensível à variação da renda dos mais escolarizados do que em 1995. </w:t>
      </w:r>
    </w:p>
    <w:p w14:paraId="5194980D" w14:textId="1060EDE2" w:rsidR="00743989" w:rsidRPr="00445E18" w:rsidRDefault="0087783C"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Um reflexo da expansão dos níveis de escolaridade dos estados mais pobres, é</w:t>
      </w:r>
      <w:r w:rsidR="00743989" w:rsidRPr="00445E18">
        <w:rPr>
          <w:rFonts w:ascii="Times New Roman" w:hAnsi="Times New Roman" w:cs="Times New Roman"/>
          <w:color w:val="000000" w:themeColor="text1"/>
          <w:sz w:val="24"/>
          <w:szCs w:val="24"/>
        </w:rPr>
        <w:t xml:space="preserve"> interessante também perceber que, em 2011, as únicas fontes de renda do trabalho que apresentavam valores positivos para a elasticidade da desigualdade da distribuição regional de renda entre os estados brasileiros eram as duas fontes correspondentes às renda dos indivíduos mais escolarizados, Escol4 (indivíduos com ensino médio ou superior incompleto) e a própria fonte Escol5 (indivíduos com superior completo). Ou seja, diferentemente de 1995 quando os níveis de escolaridade intermediários também </w:t>
      </w:r>
      <w:r w:rsidR="00743989" w:rsidRPr="00445E18">
        <w:rPr>
          <w:rFonts w:ascii="Times New Roman" w:hAnsi="Times New Roman" w:cs="Times New Roman"/>
          <w:color w:val="000000" w:themeColor="text1"/>
          <w:sz w:val="24"/>
          <w:szCs w:val="24"/>
        </w:rPr>
        <w:lastRenderedPageBreak/>
        <w:t>impactavam positivamente a desigualdade, no ano mais recente, a influência dos níveis de escolaridade sobre a desigualdade regional tende a atuar a partir dos níveis mais altos de escolaridade.</w:t>
      </w:r>
      <w:r w:rsidRPr="00445E18">
        <w:rPr>
          <w:rFonts w:ascii="Times New Roman" w:hAnsi="Times New Roman" w:cs="Times New Roman"/>
          <w:color w:val="000000" w:themeColor="text1"/>
          <w:sz w:val="24"/>
          <w:szCs w:val="24"/>
        </w:rPr>
        <w:t xml:space="preserve"> </w:t>
      </w:r>
    </w:p>
    <w:p w14:paraId="4C9A0E87"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Entre as fontes de renda do trabalho, a única fonte de renda com valores negativos para a elasticidade da desigualdade da distribuição da renda total, tanto em 1995, quanto em 2011, é aquela dos indivíduos que completaram, no máximo, a terceira série do ensino fundamental (Escol1). Isto significa que, a partir da renda do trabalho, somente para tal grupo de indivíduos é que elevações de renda estavam nos dois anos associadas a diminuições da desigualdade regional de renda no Brasil. Note-se, contudo, que mesmo tal potencial efeito favorável à redução da desigualdade oriundo desta fonte de renda é bem menor em 2011 que em 1995: enquanto em 1995 o aumento de 1% desta fonte de renda estava associado a em uma redução da desigualdade regional de renda medida pelo índice de Gini em torno de 11,8% e, em 2011, o mesmo aumento percentual indicava uma redução de 6,8% do valor do mesmo indicador de desigualdade. </w:t>
      </w:r>
    </w:p>
    <w:p w14:paraId="7192AF85" w14:textId="31E7AD9B" w:rsidR="00506A2E" w:rsidRPr="00445E18" w:rsidRDefault="00506A2E"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Tais resultados indicam que a expansão da renda do trabalho está longe de ser neutra com respeito à distribuição regional da renda no Brasil. Mesmo com o maior progresso escolar relativo dos estados mais pobres observado no período mais recente, os estados mais ricos ainda tendem a se beneficiar relativamente mais com expansão da renda em setores econômicos que utilizam predominantemente força de trabalho mais escolarizada e tais ganhos relativos das unidades mais ricas tem aumentado ao longo do tempo.</w:t>
      </w:r>
    </w:p>
    <w:p w14:paraId="4D2C28C9" w14:textId="64B56B50"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No que diz respeito aos valores das elasticidades para as fontes de renda não associadas ao trabalho, os destaques são as fontes associadas às rendas das Aposentadoria e Pensões e à renda do Programa Bolsa Família (BF), que, por sinal, em 2011 apresentavam valores negativos de mesma magnitude para a elasticidade da desigualdade da distribuição de renda (-2,8%). Aqui, é notável que a fonte de renda associado ao BF, com apenas 1,3% de participação na renda total em 2011, apresente o terceiro maior valor (absoluto) para a elasticidade entre todas as fontes de renda consideradas neste trabalho. </w:t>
      </w:r>
    </w:p>
    <w:p w14:paraId="32257565" w14:textId="4F50AACD"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Da equação (11), é possível perceber </w:t>
      </w:r>
      <w:r w:rsidR="003207EA" w:rsidRPr="00445E18">
        <w:rPr>
          <w:rFonts w:ascii="Times New Roman" w:eastAsiaTheme="minorEastAsia" w:hAnsi="Times New Roman" w:cs="Times New Roman"/>
          <w:color w:val="000000" w:themeColor="text1"/>
          <w:sz w:val="24"/>
          <w:szCs w:val="24"/>
        </w:rPr>
        <w:t xml:space="preserve">também </w:t>
      </w:r>
      <w:r w:rsidRPr="00445E18">
        <w:rPr>
          <w:rFonts w:ascii="Times New Roman" w:eastAsiaTheme="minorEastAsia" w:hAnsi="Times New Roman" w:cs="Times New Roman"/>
          <w:color w:val="000000" w:themeColor="text1"/>
          <w:sz w:val="24"/>
          <w:szCs w:val="24"/>
        </w:rPr>
        <w:t xml:space="preserve">que as variações das elasticidades da desigualdade regional na distribuição da renda total associadas a cada renda estão </w:t>
      </w:r>
      <w:r w:rsidRPr="00445E18">
        <w:rPr>
          <w:rFonts w:ascii="Times New Roman" w:eastAsiaTheme="minorEastAsia" w:hAnsi="Times New Roman" w:cs="Times New Roman"/>
          <w:color w:val="000000" w:themeColor="text1"/>
          <w:sz w:val="24"/>
          <w:szCs w:val="24"/>
        </w:rPr>
        <w:lastRenderedPageBreak/>
        <w:t xml:space="preserve">associadas a variações no próprio nível de desigualdade (através do índice de Gini, </w:t>
      </w:r>
      <w:r w:rsidRPr="00445E18">
        <w:rPr>
          <w:rFonts w:ascii="Times New Roman" w:eastAsiaTheme="minorEastAsia" w:hAnsi="Times New Roman" w:cs="Times New Roman"/>
          <w:i/>
          <w:color w:val="000000" w:themeColor="text1"/>
          <w:sz w:val="24"/>
          <w:szCs w:val="24"/>
        </w:rPr>
        <w:t>G</w:t>
      </w:r>
      <w:r w:rsidRPr="00445E18">
        <w:rPr>
          <w:rFonts w:ascii="Times New Roman" w:eastAsiaTheme="minorEastAsia" w:hAnsi="Times New Roman" w:cs="Times New Roman"/>
          <w:color w:val="000000" w:themeColor="text1"/>
          <w:sz w:val="24"/>
          <w:szCs w:val="24"/>
        </w:rPr>
        <w:t>), a variações no Coeficiente do Concentração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 e a variações nas participações das fontes de renda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m:t>
        </m:r>
      </m:oMath>
      <w:r w:rsidRPr="00445E18">
        <w:rPr>
          <w:rFonts w:ascii="Times New Roman" w:eastAsiaTheme="minorEastAsia" w:hAnsi="Times New Roman" w:cs="Times New Roman"/>
          <w:color w:val="000000" w:themeColor="text1"/>
          <w:sz w:val="24"/>
          <w:szCs w:val="24"/>
        </w:rPr>
        <w:t>. Com o objetivo de evidenciar a contribuição de cada um destes potenciais componentes, são apresentados os resultados de uma Decomposição de Shapley para a variação da elasticidade de cada fonte de renda, entre 1995 e 2011, a partir da equação (13). Formalmente, isto corresponde a considerar a variação entre 1995 (</w:t>
      </w:r>
      <w:r w:rsidRPr="00445E18">
        <w:rPr>
          <w:rFonts w:ascii="Times New Roman" w:eastAsiaTheme="minorEastAsia" w:hAnsi="Times New Roman" w:cs="Times New Roman"/>
          <w:i/>
          <w:color w:val="000000" w:themeColor="text1"/>
          <w:sz w:val="24"/>
          <w:szCs w:val="24"/>
        </w:rPr>
        <w:t>t = 0</w:t>
      </w:r>
      <w:r w:rsidRPr="00445E18">
        <w:rPr>
          <w:rFonts w:ascii="Times New Roman" w:eastAsiaTheme="minorEastAsia" w:hAnsi="Times New Roman" w:cs="Times New Roman"/>
          <w:color w:val="000000" w:themeColor="text1"/>
          <w:sz w:val="24"/>
          <w:szCs w:val="24"/>
        </w:rPr>
        <w:t>) e 2011 (</w:t>
      </w:r>
      <w:r w:rsidRPr="00445E18">
        <w:rPr>
          <w:rFonts w:ascii="Times New Roman" w:eastAsiaTheme="minorEastAsia" w:hAnsi="Times New Roman" w:cs="Times New Roman"/>
          <w:i/>
          <w:color w:val="000000" w:themeColor="text1"/>
          <w:sz w:val="24"/>
          <w:szCs w:val="24"/>
        </w:rPr>
        <w:t xml:space="preserve">t = </w:t>
      </w:r>
      <w:r w:rsidRPr="00445E18">
        <w:rPr>
          <w:rFonts w:ascii="Times New Roman" w:eastAsiaTheme="minorEastAsia" w:hAnsi="Times New Roman" w:cs="Times New Roman"/>
          <w:color w:val="000000" w:themeColor="text1"/>
          <w:sz w:val="24"/>
          <w:szCs w:val="24"/>
        </w:rPr>
        <w:t>t) de cada elasticidade na forma:</w:t>
      </w:r>
    </w:p>
    <w:p w14:paraId="62157D61"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6D77DC56" w14:textId="7D93CC1E" w:rsidR="00743989" w:rsidRPr="00445E18" w:rsidRDefault="005D7F30" w:rsidP="003C3441">
      <w:pPr>
        <w:spacing w:after="0" w:line="360" w:lineRule="auto"/>
        <w:ind w:firstLine="709"/>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yft</m:t>
                </m:r>
              </m:sub>
            </m:sSub>
            <m:r>
              <w:rPr>
                <w:rFonts w:ascii="Cambria Math" w:hAnsi="Cambria Math" w:cs="Times New Roman"/>
                <w:color w:val="000000" w:themeColor="text1"/>
                <w:sz w:val="24"/>
                <w:szCs w:val="24"/>
              </w:rPr>
              <m: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yf0</m:t>
                </m:r>
              </m:sub>
            </m:sSub>
            <m:r>
              <w:rPr>
                <w:rFonts w:ascii="Cambria Math" w:hAnsi="Cambria Math" w:cs="Times New Roman"/>
                <w:color w:val="000000" w:themeColor="text1"/>
                <w:sz w:val="24"/>
                <w:szCs w:val="24"/>
              </w:rPr>
              <m:t>-</m:t>
            </m:r>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ft</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ft</m:t>
                </m:r>
              </m:sub>
            </m:sSub>
            <m:sSup>
              <m:sSupPr>
                <m:ctrlPr>
                  <w:rPr>
                    <w:rFonts w:ascii="Cambria Math" w:hAnsi="Cambria Math" w:cs="Times New Roman"/>
                    <w:i/>
                    <w:color w:val="000000" w:themeColor="text1"/>
                    <w:sz w:val="24"/>
                    <w:szCs w:val="24"/>
                  </w:rPr>
                </m:ctrlPr>
              </m:sSup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t</m:t>
                    </m:r>
                  </m:sub>
                  <m:sup>
                    <m:r>
                      <w:rPr>
                        <w:rFonts w:ascii="Cambria Math" w:hAnsi="Cambria Math" w:cs="Times New Roman"/>
                        <w:color w:val="000000" w:themeColor="text1"/>
                        <w:sz w:val="24"/>
                        <w:szCs w:val="24"/>
                      </w:rPr>
                      <m:t>-1</m:t>
                    </m:r>
                  </m:sup>
                </m:sSubSup>
              </m:e>
              <m:sup/>
            </m:sSup>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ft</m:t>
            </m:r>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f0</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f0</m:t>
                </m:r>
              </m:sub>
            </m:sSub>
            <m:sSup>
              <m:sSupPr>
                <m:ctrlPr>
                  <w:rPr>
                    <w:rFonts w:ascii="Cambria Math" w:hAnsi="Cambria Math" w:cs="Times New Roman"/>
                    <w:i/>
                    <w:color w:val="000000" w:themeColor="text1"/>
                    <w:sz w:val="24"/>
                    <w:szCs w:val="24"/>
                  </w:rPr>
                </m:ctrlPr>
              </m:sSup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t0</m:t>
                    </m:r>
                  </m:sub>
                  <m:sup>
                    <m:r>
                      <w:rPr>
                        <w:rFonts w:ascii="Cambria Math" w:hAnsi="Cambria Math" w:cs="Times New Roman"/>
                        <w:color w:val="000000" w:themeColor="text1"/>
                        <w:sz w:val="24"/>
                        <w:szCs w:val="24"/>
                      </w:rPr>
                      <m:t>-1</m:t>
                    </m:r>
                  </m:sup>
                </m:sSubSup>
              </m:e>
              <m:sup/>
            </m:sSup>
          </m:e>
        </m:d>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f0</m:t>
            </m:r>
          </m:sub>
        </m:sSub>
      </m:oMath>
      <w:r w:rsidR="003207EA" w:rsidRPr="00445E18">
        <w:rPr>
          <w:rFonts w:ascii="Times New Roman" w:eastAsiaTheme="minorEastAsia" w:hAnsi="Times New Roman" w:cs="Times New Roman"/>
          <w:color w:val="000000" w:themeColor="text1"/>
          <w:sz w:val="24"/>
          <w:szCs w:val="24"/>
        </w:rPr>
        <w:t xml:space="preserve">             </w:t>
      </w:r>
      <w:r w:rsidR="00743989" w:rsidRPr="00445E18">
        <w:rPr>
          <w:rFonts w:ascii="Times New Roman" w:eastAsiaTheme="minorEastAsia" w:hAnsi="Times New Roman" w:cs="Times New Roman"/>
          <w:color w:val="000000" w:themeColor="text1"/>
          <w:sz w:val="24"/>
          <w:szCs w:val="24"/>
        </w:rPr>
        <w:t>(12)</w:t>
      </w:r>
    </w:p>
    <w:p w14:paraId="2A4CB0E0"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5B2A4EED"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A obtenção de medidas da contribuição de cada um dos três fatores expressos na equação (11) para a variação da desigualdade regional brasileira entre 1995 e 2011 pode ser obtida a partir de uma decomposição de Shapley (Shorrocks, 1999; Shorrocks, 2012). </w:t>
      </w:r>
      <w:r w:rsidRPr="00445E18">
        <w:rPr>
          <w:rFonts w:ascii="Times New Roman" w:eastAsiaTheme="minorEastAsia" w:hAnsi="Times New Roman" w:cs="Times New Roman"/>
          <w:color w:val="000000" w:themeColor="text1"/>
          <w:sz w:val="24"/>
          <w:szCs w:val="24"/>
        </w:rPr>
        <w:t>O Valor de Shapley é um conceito desenvolvido no âmbito da teoria dos jogos cooperativos e sua aplicação para a decomposição de índices de pobreza e desigualdade foi estabelecida por Shorrocks (1999)</w:t>
      </w:r>
      <w:r w:rsidRPr="00445E18">
        <w:rPr>
          <w:rStyle w:val="FootnoteReference"/>
          <w:rFonts w:ascii="Times New Roman" w:eastAsiaTheme="minorEastAsia" w:hAnsi="Times New Roman" w:cs="Times New Roman"/>
          <w:color w:val="000000" w:themeColor="text1"/>
          <w:sz w:val="24"/>
          <w:szCs w:val="24"/>
        </w:rPr>
        <w:footnoteReference w:id="6"/>
      </w:r>
      <w:r w:rsidRPr="00445E18">
        <w:rPr>
          <w:rFonts w:ascii="Times New Roman" w:eastAsiaTheme="minorEastAsia" w:hAnsi="Times New Roman" w:cs="Times New Roman"/>
          <w:color w:val="000000" w:themeColor="text1"/>
          <w:sz w:val="24"/>
          <w:szCs w:val="24"/>
        </w:rPr>
        <w:t>. Neste sentido, a variação da elasticidade de cada fonte de renda entre 1995 e 2011 pode ser calculada através da seguinte equação:</w:t>
      </w:r>
    </w:p>
    <w:p w14:paraId="0122B3DE" w14:textId="77777777"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p>
    <w:p w14:paraId="2B5AEFFE" w14:textId="6BC21D84" w:rsidR="00743989" w:rsidRPr="00445E18" w:rsidRDefault="00743989" w:rsidP="003C3441">
      <w:pPr>
        <w:spacing w:after="0" w:line="360" w:lineRule="auto"/>
        <w:ind w:firstLine="709"/>
        <w:jc w:val="both"/>
        <w:rPr>
          <w:rFonts w:ascii="Times New Roman" w:eastAsiaTheme="minorEastAsia" w:hAnsi="Times New Roman" w:cs="Times New Roman"/>
          <w:color w:val="000000" w:themeColor="text1"/>
          <w:sz w:val="24"/>
          <w:szCs w:val="24"/>
        </w:rPr>
      </w:pPr>
      <w:r w:rsidRPr="00445E18">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ε</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yf</m:t>
                </m:r>
              </m:sub>
            </m:sSub>
          </m:sub>
        </m:sSub>
        <m:r>
          <w:rPr>
            <w:rFonts w:ascii="Cambria Math" w:hAnsi="Cambria Math" w:cs="Times New Roman"/>
            <w:color w:val="000000" w:themeColor="text1"/>
            <w:sz w:val="24"/>
            <w:szCs w:val="24"/>
          </w:rPr>
          <m:t>= 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f</m:t>
                </m:r>
              </m:sub>
            </m:sSub>
            <m:ctrlPr>
              <w:rPr>
                <w:rFonts w:ascii="Cambria Math" w:eastAsiaTheme="minorEastAsia" w:hAnsi="Cambria Math" w:cs="Times New Roman"/>
                <w:i/>
                <w:color w:val="000000" w:themeColor="text1"/>
                <w:sz w:val="24"/>
                <w:szCs w:val="24"/>
              </w:rPr>
            </m:ctrlPr>
          </m:e>
        </m:d>
        <m:r>
          <w:rPr>
            <w:rFonts w:ascii="Cambria Math" w:eastAsiaTheme="minorEastAsia" w:hAnsi="Cambria Math" w:cs="Times New Roman"/>
            <w:color w:val="000000" w:themeColor="text1"/>
            <w:sz w:val="24"/>
            <w:szCs w:val="24"/>
          </w:rPr>
          <m:t>+</m:t>
        </m:r>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m:t>
            </m:r>
            <m:ctrlPr>
              <w:rPr>
                <w:rFonts w:ascii="Cambria Math" w:eastAsiaTheme="minorEastAsia" w:hAnsi="Cambria Math" w:cs="Times New Roman"/>
                <w:i/>
                <w:color w:val="000000" w:themeColor="text1"/>
                <w:sz w:val="24"/>
                <w:szCs w:val="24"/>
              </w:rPr>
            </m:ctrlPr>
          </m:e>
        </m:d>
        <m:r>
          <w:rPr>
            <w:rFonts w:ascii="Cambria Math" w:eastAsiaTheme="minorEastAsia" w:hAnsi="Cambria Math" w:cs="Times New Roman"/>
            <w:color w:val="000000" w:themeColor="text1"/>
            <w:sz w:val="24"/>
            <w:szCs w:val="24"/>
          </w:rPr>
          <m:t xml:space="preserve">+ </m:t>
        </m:r>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ctrlPr>
              <w:rPr>
                <w:rFonts w:ascii="Cambria Math" w:eastAsiaTheme="minorEastAsia" w:hAnsi="Cambria Math" w:cs="Times New Roman"/>
                <w:i/>
                <w:color w:val="000000" w:themeColor="text1"/>
                <w:sz w:val="24"/>
                <w:szCs w:val="24"/>
              </w:rPr>
            </m:ctrlPr>
          </m:e>
        </m:d>
      </m:oMath>
      <w:r w:rsidRPr="00445E18">
        <w:rPr>
          <w:rFonts w:ascii="Times New Roman" w:eastAsiaTheme="minorEastAsia" w:hAnsi="Times New Roman" w:cs="Times New Roman"/>
          <w:color w:val="000000" w:themeColor="text1"/>
          <w:sz w:val="24"/>
          <w:szCs w:val="24"/>
        </w:rPr>
        <w:t xml:space="preserve">                                 </w:t>
      </w:r>
      <w:r w:rsidR="003207EA" w:rsidRPr="00445E18">
        <w:rPr>
          <w:rFonts w:ascii="Times New Roman" w:eastAsiaTheme="minorEastAsia" w:hAnsi="Times New Roman" w:cs="Times New Roman"/>
          <w:color w:val="000000" w:themeColor="text1"/>
          <w:sz w:val="24"/>
          <w:szCs w:val="24"/>
        </w:rPr>
        <w:t xml:space="preserve">                      (13</w:t>
      </w:r>
      <w:r w:rsidRPr="00445E18">
        <w:rPr>
          <w:rFonts w:ascii="Times New Roman" w:eastAsiaTheme="minorEastAsia" w:hAnsi="Times New Roman" w:cs="Times New Roman"/>
          <w:color w:val="000000" w:themeColor="text1"/>
          <w:sz w:val="24"/>
          <w:szCs w:val="24"/>
        </w:rPr>
        <w:t>)</w:t>
      </w:r>
    </w:p>
    <w:p w14:paraId="5AB59A6C"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03F1FA97"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Onde, a contribuição da variação do Coeficiente de Concentração de cada fonte de renda para a variação na elasticidade global </w:t>
      </w:r>
      <m:oMath>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f</m:t>
                </m:r>
              </m:sub>
            </m:sSub>
            <m:ctrlPr>
              <w:rPr>
                <w:rFonts w:ascii="Cambria Math" w:eastAsiaTheme="minorEastAsia" w:hAnsi="Cambria Math" w:cs="Times New Roman"/>
                <w:i/>
                <w:color w:val="000000" w:themeColor="text1"/>
                <w:sz w:val="24"/>
                <w:szCs w:val="24"/>
              </w:rPr>
            </m:ctrlPr>
          </m:e>
        </m:d>
      </m:oMath>
      <w:r w:rsidRPr="00445E18">
        <w:rPr>
          <w:rFonts w:ascii="Times New Roman" w:hAnsi="Times New Roman" w:cs="Times New Roman"/>
          <w:color w:val="000000" w:themeColor="text1"/>
          <w:sz w:val="24"/>
          <w:szCs w:val="24"/>
        </w:rPr>
        <w:t xml:space="preserve"> pode ser calculada como</w:t>
      </w:r>
      <w:r w:rsidRPr="00445E18">
        <w:rPr>
          <w:rStyle w:val="FootnoteReference"/>
          <w:rFonts w:ascii="Times New Roman" w:hAnsi="Times New Roman" w:cs="Times New Roman"/>
          <w:color w:val="000000" w:themeColor="text1"/>
          <w:sz w:val="24"/>
          <w:szCs w:val="24"/>
        </w:rPr>
        <w:footnoteReference w:id="7"/>
      </w:r>
      <w:r w:rsidRPr="00445E18">
        <w:rPr>
          <w:rFonts w:ascii="Times New Roman" w:hAnsi="Times New Roman" w:cs="Times New Roman"/>
          <w:color w:val="000000" w:themeColor="text1"/>
          <w:sz w:val="24"/>
          <w:szCs w:val="24"/>
        </w:rPr>
        <w:t>:</w:t>
      </w:r>
    </w:p>
    <w:p w14:paraId="75272A73"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7A94756F" w14:textId="0ADBDB00" w:rsidR="00743989" w:rsidRPr="00445E18" w:rsidRDefault="00743989" w:rsidP="003207EA">
      <w:pPr>
        <w:spacing w:after="0" w:line="360" w:lineRule="auto"/>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m:t>
            </m:r>
          </m:num>
          <m:den>
            <m:r>
              <w:rPr>
                <w:rFonts w:ascii="Cambria Math" w:hAnsi="Cambria Math" w:cs="Times New Roman"/>
                <w:color w:val="000000" w:themeColor="text1"/>
                <w:sz w:val="24"/>
                <w:szCs w:val="24"/>
              </w:rPr>
              <m:t>3!</m:t>
            </m:r>
          </m:den>
        </m:f>
        <m:d>
          <m:dPr>
            <m:begChr m:val="["/>
            <m:endChr m:val="]"/>
            <m:ctrlPr>
              <w:rPr>
                <w:rFonts w:ascii="Cambria Math" w:hAnsi="Cambria Math" w:cs="Times New Roman"/>
                <w:i/>
                <w:color w:val="000000" w:themeColor="text1"/>
                <w:sz w:val="24"/>
                <w:szCs w:val="24"/>
              </w:rPr>
            </m:ctrlPr>
          </m:d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0</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0</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0</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0</m:t>
                </m:r>
              </m:sup>
            </m:sSubSup>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3!</m:t>
            </m:r>
          </m:den>
        </m:f>
        <m:d>
          <m:dPr>
            <m:begChr m:val="["/>
            <m:endChr m:val="]"/>
            <m:ctrlPr>
              <w:rPr>
                <w:rFonts w:ascii="Cambria Math" w:hAnsi="Cambria Math" w:cs="Times New Roman"/>
                <w:i/>
                <w:color w:val="000000" w:themeColor="text1"/>
                <w:sz w:val="24"/>
                <w:szCs w:val="24"/>
              </w:rPr>
            </m:ctrlPr>
          </m:d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0</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0</m:t>
                </m:r>
              </m:sup>
            </m:sSubSup>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3!</m:t>
            </m:r>
          </m:den>
        </m:f>
        <m:d>
          <m:dPr>
            <m:begChr m:val="["/>
            <m:endChr m:val="]"/>
            <m:ctrlPr>
              <w:rPr>
                <w:rFonts w:ascii="Cambria Math" w:hAnsi="Cambria Math" w:cs="Times New Roman"/>
                <w:i/>
                <w:color w:val="000000" w:themeColor="text1"/>
                <w:sz w:val="24"/>
                <w:szCs w:val="24"/>
              </w:rPr>
            </m:ctrlPr>
          </m:d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0</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0</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m:t>
            </m:r>
          </m:num>
          <m:den>
            <m:r>
              <w:rPr>
                <w:rFonts w:ascii="Cambria Math" w:hAnsi="Cambria Math" w:cs="Times New Roman"/>
                <w:color w:val="000000" w:themeColor="text1"/>
                <w:sz w:val="24"/>
                <w:szCs w:val="24"/>
              </w:rPr>
              <m:t>3!</m:t>
            </m:r>
          </m:den>
        </m:f>
        <m:d>
          <m:dPr>
            <m:begChr m:val="["/>
            <m:endChr m:val="]"/>
            <m:ctrlPr>
              <w:rPr>
                <w:rFonts w:ascii="Cambria Math" w:hAnsi="Cambria Math" w:cs="Times New Roman"/>
                <w:i/>
                <w:color w:val="000000" w:themeColor="text1"/>
                <w:sz w:val="24"/>
                <w:szCs w:val="24"/>
              </w:rPr>
            </m:ctrlPr>
          </m:d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0</m:t>
                </m:r>
              </m:sup>
            </m:sSub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G</m:t>
                </m:r>
              </m:e>
              <m:sup>
                <m:r>
                  <w:rPr>
                    <w:rFonts w:ascii="Cambria Math" w:hAnsi="Cambria Math" w:cs="Times New Roman"/>
                    <w:color w:val="000000" w:themeColor="text1"/>
                    <w:sz w:val="24"/>
                    <w:szCs w:val="24"/>
                  </w:rPr>
                  <m:t>t</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up>
                <m:r>
                  <w:rPr>
                    <w:rFonts w:ascii="Cambria Math" w:hAnsi="Cambria Math" w:cs="Times New Roman"/>
                    <w:color w:val="000000" w:themeColor="text1"/>
                    <w:sz w:val="24"/>
                    <w:szCs w:val="24"/>
                  </w:rPr>
                  <m:t>t</m:t>
                </m:r>
              </m:sup>
            </m:sSubSup>
          </m:e>
        </m:d>
      </m:oMath>
      <w:r w:rsidR="003207EA" w:rsidRPr="00445E18">
        <w:rPr>
          <w:rFonts w:ascii="Times New Roman" w:eastAsiaTheme="minorEastAsia" w:hAnsi="Times New Roman" w:cs="Times New Roman"/>
          <w:color w:val="000000" w:themeColor="text1"/>
          <w:sz w:val="24"/>
          <w:szCs w:val="24"/>
        </w:rPr>
        <w:t xml:space="preserve"> (14</w:t>
      </w:r>
      <w:r w:rsidRPr="00445E18">
        <w:rPr>
          <w:rFonts w:ascii="Times New Roman" w:eastAsiaTheme="minorEastAsia" w:hAnsi="Times New Roman" w:cs="Times New Roman"/>
          <w:color w:val="000000" w:themeColor="text1"/>
          <w:sz w:val="24"/>
          <w:szCs w:val="24"/>
        </w:rPr>
        <w:t>)</w:t>
      </w:r>
    </w:p>
    <w:p w14:paraId="2C6A26AD"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4EF018D2" w14:textId="77777777" w:rsidR="001B4B0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Decomposições similares podem ser realizadas para </w:t>
      </w:r>
      <m:oMath>
        <m:r>
          <w:rPr>
            <w:rFonts w:ascii="Cambria Math" w:hAnsi="Cambria Math" w:cs="Times New Roman"/>
            <w:color w:val="000000" w:themeColor="text1"/>
            <w:sz w:val="24"/>
            <w:szCs w:val="24"/>
          </w:rPr>
          <m:t>(G</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-1</m:t>
            </m:r>
          </m:sup>
        </m:sSup>
      </m:oMath>
      <w:r w:rsidRPr="00445E18">
        <w:rPr>
          <w:rFonts w:ascii="Times New Roman" w:hAnsi="Times New Roman" w:cs="Times New Roman"/>
          <w:color w:val="000000" w:themeColor="text1"/>
          <w:sz w:val="24"/>
          <w:szCs w:val="24"/>
        </w:rPr>
        <w:t xml:space="preserve">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Portanto, </w:t>
      </w:r>
      <m:oMath>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e>
        </m:d>
      </m:oMath>
      <w:r w:rsidRPr="00445E18">
        <w:rPr>
          <w:rFonts w:ascii="Times New Roman" w:hAnsi="Times New Roman" w:cs="Times New Roman"/>
          <w:color w:val="000000" w:themeColor="text1"/>
          <w:sz w:val="24"/>
          <w:szCs w:val="24"/>
        </w:rPr>
        <w:t xml:space="preserve"> representa o efeito da variação do Coeficiente de Concentração da fonte </w:t>
      </w:r>
      <w:r w:rsidRPr="00445E18">
        <w:rPr>
          <w:rFonts w:ascii="Times New Roman" w:hAnsi="Times New Roman" w:cs="Times New Roman"/>
          <w:i/>
          <w:color w:val="000000" w:themeColor="text1"/>
          <w:sz w:val="24"/>
          <w:szCs w:val="24"/>
        </w:rPr>
        <w:t xml:space="preserve">f </w:t>
      </w:r>
      <w:r w:rsidRPr="00445E18">
        <w:rPr>
          <w:rFonts w:ascii="Times New Roman" w:hAnsi="Times New Roman" w:cs="Times New Roman"/>
          <w:color w:val="000000" w:themeColor="text1"/>
          <w:sz w:val="24"/>
          <w:szCs w:val="24"/>
        </w:rPr>
        <w:t xml:space="preserve">de renda sobre a variação da elasticidade desta fonte de renda, </w:t>
      </w:r>
      <m:oMath>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m:t>
            </m:r>
            <m:ctrlPr>
              <w:rPr>
                <w:rFonts w:ascii="Cambria Math" w:eastAsiaTheme="minorEastAsia" w:hAnsi="Cambria Math" w:cs="Times New Roman"/>
                <w:i/>
                <w:color w:val="000000" w:themeColor="text1"/>
                <w:sz w:val="24"/>
                <w:szCs w:val="24"/>
              </w:rPr>
            </m:ctrlPr>
          </m:e>
        </m:d>
      </m:oMath>
      <w:r w:rsidRPr="00445E18">
        <w:rPr>
          <w:rFonts w:ascii="Times New Roman" w:hAnsi="Times New Roman" w:cs="Times New Roman"/>
          <w:color w:val="000000" w:themeColor="text1"/>
          <w:sz w:val="24"/>
          <w:szCs w:val="24"/>
        </w:rPr>
        <w:t xml:space="preserve"> representa o efeito da variação da desigualdade sobre a variação da elasticidade de cada fonte de renda e </w:t>
      </w:r>
      <m:oMath>
        <m:r>
          <w:rPr>
            <w:rFonts w:ascii="Cambria Math" w:hAnsi="Cambria Math" w:cs="Times New Roman"/>
            <w:color w:val="000000" w:themeColor="text1"/>
            <w:sz w:val="24"/>
            <w:szCs w:val="24"/>
          </w:rPr>
          <m:t>C</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f</m:t>
                </m:r>
              </m:sub>
            </m:sSub>
            <m:ctrlPr>
              <w:rPr>
                <w:rFonts w:ascii="Cambria Math" w:eastAsiaTheme="minorEastAsia" w:hAnsi="Cambria Math" w:cs="Times New Roman"/>
                <w:i/>
                <w:color w:val="000000" w:themeColor="text1"/>
                <w:sz w:val="24"/>
                <w:szCs w:val="24"/>
              </w:rPr>
            </m:ctrlPr>
          </m:e>
        </m:d>
      </m:oMath>
      <w:r w:rsidRPr="00445E18">
        <w:rPr>
          <w:rFonts w:ascii="Times New Roman" w:eastAsiaTheme="minorEastAsia"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 xml:space="preserve">representa o efeito da variação da participação de cada fonte de renda </w:t>
      </w:r>
      <w:r w:rsidRPr="00445E18">
        <w:rPr>
          <w:rFonts w:ascii="Times New Roman" w:hAnsi="Times New Roman" w:cs="Times New Roman"/>
          <w:i/>
          <w:color w:val="000000" w:themeColor="text1"/>
          <w:sz w:val="24"/>
          <w:szCs w:val="24"/>
        </w:rPr>
        <w:t xml:space="preserve">f </w:t>
      </w:r>
      <w:r w:rsidRPr="00445E18">
        <w:rPr>
          <w:rFonts w:ascii="Times New Roman" w:hAnsi="Times New Roman" w:cs="Times New Roman"/>
          <w:color w:val="000000" w:themeColor="text1"/>
          <w:sz w:val="24"/>
          <w:szCs w:val="24"/>
        </w:rPr>
        <w:t>sobre a variação da elasticidade.</w:t>
      </w:r>
      <w:r w:rsidR="008E781B" w:rsidRPr="00445E18">
        <w:rPr>
          <w:rFonts w:ascii="Times New Roman" w:hAnsi="Times New Roman" w:cs="Times New Roman"/>
          <w:color w:val="000000" w:themeColor="text1"/>
          <w:sz w:val="24"/>
          <w:szCs w:val="24"/>
        </w:rPr>
        <w:t xml:space="preserve"> </w:t>
      </w:r>
    </w:p>
    <w:p w14:paraId="7F5A7E5B" w14:textId="6AC17257" w:rsidR="00743989" w:rsidRPr="00445E18" w:rsidRDefault="008E781B"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Embora permita apreender a contribuição dos diferentes fatores associados às mudanças de determinada variável (no caso, a elasticidade do Índice de Gini em relação a variações em diferentes fontes de renda), é importante reconhecer que a Decomposição de Shapley apresenta algumas limitações.</w:t>
      </w:r>
      <w:r w:rsidR="005D1E28" w:rsidRPr="00445E18">
        <w:rPr>
          <w:rFonts w:ascii="Times New Roman" w:hAnsi="Times New Roman" w:cs="Times New Roman"/>
          <w:color w:val="000000" w:themeColor="text1"/>
          <w:sz w:val="24"/>
          <w:szCs w:val="24"/>
        </w:rPr>
        <w:t xml:space="preserve"> </w:t>
      </w:r>
      <w:r w:rsidR="00BD1150" w:rsidRPr="00445E18">
        <w:rPr>
          <w:rFonts w:ascii="Times New Roman" w:hAnsi="Times New Roman" w:cs="Times New Roman"/>
          <w:color w:val="000000" w:themeColor="text1"/>
          <w:sz w:val="24"/>
          <w:szCs w:val="24"/>
        </w:rPr>
        <w:t>Além, evidentemente, de não permitir interpretações das contribuições como efeitos causais, uma limitação importante é que tal decomposição não satisfaz o princípio da independência, o que significa que a contribuição de cada fonte de renda sobre a desigualdade depende de como são agregadas as demais fontes (Sastre e Tranoy, 2002; Cowell e Fiorio, 2011).</w:t>
      </w:r>
      <w:r w:rsidR="00363C77" w:rsidRPr="00445E18">
        <w:rPr>
          <w:rFonts w:ascii="Times New Roman" w:hAnsi="Times New Roman" w:cs="Times New Roman"/>
          <w:color w:val="000000" w:themeColor="text1"/>
          <w:sz w:val="24"/>
          <w:szCs w:val="24"/>
        </w:rPr>
        <w:t xml:space="preserve"> </w:t>
      </w:r>
      <w:r w:rsidR="00A458B4" w:rsidRPr="00445E18">
        <w:rPr>
          <w:rFonts w:ascii="Times New Roman" w:hAnsi="Times New Roman" w:cs="Times New Roman"/>
          <w:color w:val="000000" w:themeColor="text1"/>
          <w:sz w:val="24"/>
          <w:szCs w:val="24"/>
        </w:rPr>
        <w:t>Adicionalmente, como argu</w:t>
      </w:r>
      <w:r w:rsidR="00E77622" w:rsidRPr="00445E18">
        <w:rPr>
          <w:rFonts w:ascii="Times New Roman" w:hAnsi="Times New Roman" w:cs="Times New Roman"/>
          <w:color w:val="000000" w:themeColor="text1"/>
          <w:sz w:val="24"/>
          <w:szCs w:val="24"/>
        </w:rPr>
        <w:t xml:space="preserve">mentam Chantreuil e Trannoy (2013), quando usado para mensurar, por exemplo, a contribuição das fontes de renda para o nível geral de desigualdade, </w:t>
      </w:r>
      <w:r w:rsidR="00A458B4" w:rsidRPr="00445E18">
        <w:rPr>
          <w:rFonts w:ascii="Times New Roman" w:hAnsi="Times New Roman" w:cs="Times New Roman"/>
          <w:color w:val="000000" w:themeColor="text1"/>
          <w:sz w:val="24"/>
          <w:szCs w:val="24"/>
        </w:rPr>
        <w:t xml:space="preserve">a </w:t>
      </w:r>
      <w:r w:rsidR="00E77622" w:rsidRPr="00445E18">
        <w:rPr>
          <w:rFonts w:ascii="Times New Roman" w:hAnsi="Times New Roman" w:cs="Times New Roman"/>
          <w:color w:val="000000" w:themeColor="text1"/>
          <w:sz w:val="24"/>
          <w:szCs w:val="24"/>
        </w:rPr>
        <w:t xml:space="preserve">Decomposição de Shapley gera </w:t>
      </w:r>
      <w:r w:rsidR="00A458B4" w:rsidRPr="00445E18">
        <w:rPr>
          <w:rFonts w:ascii="Times New Roman" w:hAnsi="Times New Roman" w:cs="Times New Roman"/>
          <w:color w:val="000000" w:themeColor="text1"/>
          <w:sz w:val="24"/>
          <w:szCs w:val="24"/>
        </w:rPr>
        <w:t>valores de contribuições diferentes a depender do índice de desigualdade utilizado</w:t>
      </w:r>
      <w:r w:rsidR="00A458B4" w:rsidRPr="00445E18">
        <w:rPr>
          <w:rStyle w:val="FootnoteReference"/>
          <w:rFonts w:ascii="Times New Roman" w:hAnsi="Times New Roman" w:cs="Times New Roman"/>
          <w:color w:val="000000" w:themeColor="text1"/>
          <w:sz w:val="24"/>
          <w:szCs w:val="24"/>
        </w:rPr>
        <w:footnoteReference w:id="8"/>
      </w:r>
      <w:r w:rsidR="00A458B4" w:rsidRPr="00445E18">
        <w:rPr>
          <w:rFonts w:ascii="Times New Roman" w:hAnsi="Times New Roman" w:cs="Times New Roman"/>
          <w:color w:val="000000" w:themeColor="text1"/>
          <w:sz w:val="24"/>
          <w:szCs w:val="24"/>
        </w:rPr>
        <w:t xml:space="preserve">. </w:t>
      </w:r>
      <w:r w:rsidR="00AB1527" w:rsidRPr="00445E18">
        <w:rPr>
          <w:rFonts w:ascii="Times New Roman" w:hAnsi="Times New Roman" w:cs="Times New Roman"/>
          <w:color w:val="000000" w:themeColor="text1"/>
          <w:sz w:val="24"/>
          <w:szCs w:val="24"/>
        </w:rPr>
        <w:t>Tais observações</w:t>
      </w:r>
      <w:r w:rsidR="0068248F" w:rsidRPr="00445E18">
        <w:rPr>
          <w:rFonts w:ascii="Times New Roman" w:hAnsi="Times New Roman" w:cs="Times New Roman"/>
          <w:color w:val="000000" w:themeColor="text1"/>
          <w:sz w:val="24"/>
          <w:szCs w:val="24"/>
        </w:rPr>
        <w:t>, contudo,</w:t>
      </w:r>
      <w:r w:rsidR="00AB1527" w:rsidRPr="00445E18">
        <w:rPr>
          <w:rFonts w:ascii="Times New Roman" w:hAnsi="Times New Roman" w:cs="Times New Roman"/>
          <w:color w:val="000000" w:themeColor="text1"/>
          <w:sz w:val="24"/>
          <w:szCs w:val="24"/>
        </w:rPr>
        <w:t xml:space="preserve"> </w:t>
      </w:r>
      <w:r w:rsidR="002C3844" w:rsidRPr="00445E18">
        <w:rPr>
          <w:rFonts w:ascii="Times New Roman" w:hAnsi="Times New Roman" w:cs="Times New Roman"/>
          <w:color w:val="000000" w:themeColor="text1"/>
          <w:sz w:val="24"/>
          <w:szCs w:val="24"/>
        </w:rPr>
        <w:t xml:space="preserve">não invalidam os resultados aqui, que devem ser considerados condicionados à estrutura de fontes de renda assumida. </w:t>
      </w:r>
    </w:p>
    <w:p w14:paraId="4DAE5C26"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Os resultados da aplicação da Decomposição de Shapley para a variação da elasticidade da desigualdade da distribuição de renda entre os estados brasileiros em relação a cada fonte de renda são apresentados nas colunas (4), (5) e (6) da Tabela 4. </w:t>
      </w:r>
    </w:p>
    <w:p w14:paraId="3511F7A5"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Entre as fontes de renda do trabalho, nas referidas colunas da tabela 4, nota-se, por exemplo, que cerca de 33,4% da elevação da elasticidade da desigualdade associada à fonte de renda dos indivíduos mais escolarizados entre 1995 e 2011 apontada acima decorre do fato desta fonte está mais concentrada (efeito da variação do Coeficiente de </w:t>
      </w:r>
      <w:r w:rsidRPr="00445E18">
        <w:rPr>
          <w:rFonts w:ascii="Times New Roman" w:hAnsi="Times New Roman" w:cs="Times New Roman"/>
          <w:color w:val="000000" w:themeColor="text1"/>
          <w:sz w:val="24"/>
          <w:szCs w:val="24"/>
        </w:rPr>
        <w:lastRenderedPageBreak/>
        <w:t xml:space="preserve">Concentração,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oMath>
      <w:r w:rsidRPr="00445E18">
        <w:rPr>
          <w:rFonts w:ascii="Times New Roman" w:hAnsi="Times New Roman" w:cs="Times New Roman"/>
          <w:color w:val="000000" w:themeColor="text1"/>
          <w:sz w:val="24"/>
          <w:szCs w:val="24"/>
        </w:rPr>
        <w:t xml:space="preserve">), sendo o restante decorrente da própria redução do índice de Gini (27,8%) e da elevação de sua participação (38,8%). Por outro lado, o menor valor absoluto da elasticidade da desigualdade associada à fonte de renda dos indivíduos com menor nível de escolaridade (Escol1) decorre quase que exclusivamente do menor peso que esta fonte de renda passa a ter na renda total em 2011. Para as fontes de renda do trabalho associadas aos níveis intermediários de escolaridade, os movimentos de diminuição dos valores da elasticidades entre 1995 e 2011 decorrem, sobretudo, da diminuição do nível de concentração destas fontes de renda (componente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oMath>
      <w:r w:rsidRPr="00445E18">
        <w:rPr>
          <w:rFonts w:ascii="Times New Roman" w:eastAsiaTheme="minorEastAsia" w:hAnsi="Times New Roman" w:cs="Times New Roman"/>
          <w:color w:val="000000" w:themeColor="text1"/>
          <w:sz w:val="24"/>
          <w:szCs w:val="24"/>
        </w:rPr>
        <w:t>).</w:t>
      </w:r>
    </w:p>
    <w:p w14:paraId="0D56469E"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Por fim, entre as fontes de renda não associadas ao trabalho, a mudança mais importante entre 1995 e 2011 diz respeito à diminuição da influência das rendas das Aposentadorias e Pensões sobre a desigualdade regional de renda entre os estados brasileiros. Tal movimento é, sobretudo, explicado pelo aumento do Coeficiente de Concentração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 xml:space="preserve">) </m:t>
        </m:r>
      </m:oMath>
      <w:r w:rsidRPr="00445E18">
        <w:rPr>
          <w:rFonts w:ascii="Times New Roman" w:hAnsi="Times New Roman" w:cs="Times New Roman"/>
          <w:color w:val="000000" w:themeColor="text1"/>
          <w:sz w:val="24"/>
          <w:szCs w:val="24"/>
        </w:rPr>
        <w:t>desta fonte de renda, ou seja, pelo fato de que a evolução desta fonte particular de renda ter sido mais favorável aos estados mais ricos do país (ver valores destes coeficientes na  tabela 3).</w:t>
      </w:r>
    </w:p>
    <w:p w14:paraId="41DFCE6D"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41FEF9D3" w14:textId="652090A3"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b/>
          <w:color w:val="000000" w:themeColor="text1"/>
          <w:sz w:val="24"/>
          <w:szCs w:val="24"/>
        </w:rPr>
        <w:t xml:space="preserve">Tabela </w:t>
      </w:r>
      <w:r w:rsidR="0087783C" w:rsidRPr="00445E18">
        <w:rPr>
          <w:rFonts w:ascii="Times New Roman" w:hAnsi="Times New Roman" w:cs="Times New Roman"/>
          <w:b/>
          <w:color w:val="000000" w:themeColor="text1"/>
          <w:sz w:val="24"/>
          <w:szCs w:val="24"/>
        </w:rPr>
        <w:t>4</w:t>
      </w:r>
      <w:r w:rsidRPr="00445E18">
        <w:rPr>
          <w:rFonts w:ascii="Times New Roman" w:hAnsi="Times New Roman" w:cs="Times New Roman"/>
          <w:b/>
          <w:color w:val="000000" w:themeColor="text1"/>
          <w:sz w:val="24"/>
          <w:szCs w:val="24"/>
        </w:rPr>
        <w:t xml:space="preserve"> – Elasticidades da desigualdade da distribuição de renda entre os estados brasileiros e Decomposição de Shapley para a variação das elasticidades </w:t>
      </w:r>
    </w:p>
    <w:tbl>
      <w:tblPr>
        <w:tblW w:w="8565" w:type="dxa"/>
        <w:tblInd w:w="55" w:type="dxa"/>
        <w:tblCellMar>
          <w:left w:w="70" w:type="dxa"/>
          <w:right w:w="70" w:type="dxa"/>
        </w:tblCellMar>
        <w:tblLook w:val="04A0" w:firstRow="1" w:lastRow="0" w:firstColumn="1" w:lastColumn="0" w:noHBand="0" w:noVBand="1"/>
      </w:tblPr>
      <w:tblGrid>
        <w:gridCol w:w="1840"/>
        <w:gridCol w:w="960"/>
        <w:gridCol w:w="960"/>
        <w:gridCol w:w="1925"/>
        <w:gridCol w:w="925"/>
        <w:gridCol w:w="924"/>
        <w:gridCol w:w="1031"/>
      </w:tblGrid>
      <w:tr w:rsidR="00743989" w:rsidRPr="00445E18" w14:paraId="665DD8B8" w14:textId="77777777" w:rsidTr="00ED6611">
        <w:trPr>
          <w:trHeight w:val="315"/>
        </w:trPr>
        <w:tc>
          <w:tcPr>
            <w:tcW w:w="1840" w:type="dxa"/>
            <w:vMerge w:val="restart"/>
            <w:tcBorders>
              <w:top w:val="single" w:sz="4" w:space="0" w:color="auto"/>
              <w:left w:val="nil"/>
              <w:right w:val="single" w:sz="4" w:space="0" w:color="auto"/>
            </w:tcBorders>
            <w:shd w:val="clear" w:color="auto" w:fill="auto"/>
            <w:noWrap/>
            <w:vAlign w:val="center"/>
            <w:hideMark/>
          </w:tcPr>
          <w:p w14:paraId="6DC2DF6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Fontes de Renda</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0164C2"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Elasticidade</w:t>
            </w:r>
          </w:p>
        </w:tc>
        <w:tc>
          <w:tcPr>
            <w:tcW w:w="1925" w:type="dxa"/>
            <w:tcBorders>
              <w:top w:val="single" w:sz="4" w:space="0" w:color="auto"/>
              <w:left w:val="nil"/>
              <w:bottom w:val="single" w:sz="4" w:space="0" w:color="auto"/>
              <w:right w:val="nil"/>
            </w:tcBorders>
            <w:shd w:val="clear" w:color="auto" w:fill="auto"/>
            <w:noWrap/>
            <w:vAlign w:val="center"/>
            <w:hideMark/>
          </w:tcPr>
          <w:p w14:paraId="18834783"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Variação da Elasticidade</w:t>
            </w:r>
          </w:p>
        </w:tc>
        <w:tc>
          <w:tcPr>
            <w:tcW w:w="28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F5B28AE"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Contribuição (1995-2011)</w:t>
            </w:r>
          </w:p>
          <w:p w14:paraId="67348EF9"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w:t>
            </w:r>
          </w:p>
        </w:tc>
      </w:tr>
      <w:tr w:rsidR="00743989" w:rsidRPr="00445E18" w14:paraId="7DF9764F" w14:textId="77777777" w:rsidTr="00ED6611">
        <w:trPr>
          <w:trHeight w:val="315"/>
        </w:trPr>
        <w:tc>
          <w:tcPr>
            <w:tcW w:w="1840" w:type="dxa"/>
            <w:vMerge/>
            <w:tcBorders>
              <w:left w:val="nil"/>
              <w:right w:val="single" w:sz="4" w:space="0" w:color="auto"/>
            </w:tcBorders>
            <w:vAlign w:val="center"/>
            <w:hideMark/>
          </w:tcPr>
          <w:p w14:paraId="39500B1F"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p>
        </w:tc>
        <w:tc>
          <w:tcPr>
            <w:tcW w:w="960" w:type="dxa"/>
            <w:tcBorders>
              <w:top w:val="nil"/>
              <w:left w:val="nil"/>
              <w:bottom w:val="nil"/>
              <w:right w:val="nil"/>
            </w:tcBorders>
            <w:shd w:val="clear" w:color="auto" w:fill="auto"/>
            <w:noWrap/>
            <w:vAlign w:val="center"/>
            <w:hideMark/>
          </w:tcPr>
          <w:p w14:paraId="4EC77CE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1995</w:t>
            </w:r>
          </w:p>
        </w:tc>
        <w:tc>
          <w:tcPr>
            <w:tcW w:w="960" w:type="dxa"/>
            <w:tcBorders>
              <w:top w:val="nil"/>
              <w:left w:val="nil"/>
              <w:bottom w:val="nil"/>
              <w:right w:val="single" w:sz="4" w:space="0" w:color="auto"/>
            </w:tcBorders>
            <w:shd w:val="clear" w:color="auto" w:fill="auto"/>
            <w:noWrap/>
            <w:vAlign w:val="center"/>
            <w:hideMark/>
          </w:tcPr>
          <w:p w14:paraId="560F7F2F"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2011</w:t>
            </w:r>
          </w:p>
        </w:tc>
        <w:tc>
          <w:tcPr>
            <w:tcW w:w="1925" w:type="dxa"/>
            <w:tcBorders>
              <w:top w:val="nil"/>
              <w:left w:val="nil"/>
              <w:bottom w:val="nil"/>
              <w:right w:val="single" w:sz="4" w:space="0" w:color="auto"/>
            </w:tcBorders>
            <w:shd w:val="clear" w:color="auto" w:fill="auto"/>
            <w:noWrap/>
            <w:vAlign w:val="center"/>
            <w:hideMark/>
          </w:tcPr>
          <w:p w14:paraId="2B8F230A"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1995-2011</w:t>
            </w:r>
          </w:p>
        </w:tc>
        <w:tc>
          <w:tcPr>
            <w:tcW w:w="925" w:type="dxa"/>
            <w:tcBorders>
              <w:top w:val="single" w:sz="4" w:space="0" w:color="auto"/>
              <w:left w:val="single" w:sz="4" w:space="0" w:color="auto"/>
              <w:right w:val="nil"/>
            </w:tcBorders>
            <w:shd w:val="clear" w:color="auto" w:fill="auto"/>
            <w:noWrap/>
            <w:vAlign w:val="center"/>
            <w:hideMark/>
          </w:tcPr>
          <w:p w14:paraId="2D3FFEDD" w14:textId="77777777" w:rsidR="00743989" w:rsidRPr="00445E18" w:rsidRDefault="005D7F30" w:rsidP="003C3441">
            <w:pPr>
              <w:spacing w:after="0" w:line="240" w:lineRule="auto"/>
              <w:jc w:val="center"/>
              <w:rPr>
                <w:rFonts w:ascii="Arial" w:eastAsia="Times New Roman" w:hAnsi="Arial" w:cs="Arial"/>
                <w:b/>
                <w:bCs/>
                <w:color w:val="000000" w:themeColor="text1"/>
                <w:sz w:val="18"/>
                <w:szCs w:val="18"/>
                <w:lang w:eastAsia="pt-BR"/>
              </w:rPr>
            </w:pPr>
            <m:oMathPara>
              <m:oMath>
                <m:sSub>
                  <m:sSubPr>
                    <m:ctrlPr>
                      <w:rPr>
                        <w:rFonts w:ascii="Cambria Math" w:hAnsi="Cambria Math" w:cs="Arial"/>
                        <w:b/>
                        <w:i/>
                        <w:color w:val="000000" w:themeColor="text1"/>
                        <w:sz w:val="18"/>
                        <w:szCs w:val="18"/>
                      </w:rPr>
                    </m:ctrlPr>
                  </m:sSubPr>
                  <m:e>
                    <m:r>
                      <m:rPr>
                        <m:sty m:val="bi"/>
                      </m:rPr>
                      <w:rPr>
                        <w:rFonts w:ascii="Cambria Math" w:hAnsi="Cambria Math" w:cs="Arial"/>
                        <w:color w:val="000000" w:themeColor="text1"/>
                        <w:sz w:val="18"/>
                        <w:szCs w:val="18"/>
                      </w:rPr>
                      <m:t>C</m:t>
                    </m:r>
                  </m:e>
                  <m:sub>
                    <m:r>
                      <m:rPr>
                        <m:sty m:val="bi"/>
                      </m:rPr>
                      <w:rPr>
                        <w:rFonts w:ascii="Cambria Math" w:hAnsi="Cambria Math" w:cs="Arial"/>
                        <w:color w:val="000000" w:themeColor="text1"/>
                        <w:sz w:val="18"/>
                        <w:szCs w:val="18"/>
                      </w:rPr>
                      <m:t>f</m:t>
                    </m:r>
                  </m:sub>
                </m:sSub>
              </m:oMath>
            </m:oMathPara>
          </w:p>
        </w:tc>
        <w:tc>
          <w:tcPr>
            <w:tcW w:w="924" w:type="dxa"/>
            <w:tcBorders>
              <w:top w:val="single" w:sz="4" w:space="0" w:color="auto"/>
              <w:left w:val="nil"/>
              <w:right w:val="nil"/>
            </w:tcBorders>
            <w:shd w:val="clear" w:color="auto" w:fill="auto"/>
            <w:noWrap/>
            <w:vAlign w:val="center"/>
            <w:hideMark/>
          </w:tcPr>
          <w:p w14:paraId="0B214206"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G</w:t>
            </w:r>
          </w:p>
        </w:tc>
        <w:tc>
          <w:tcPr>
            <w:tcW w:w="1031" w:type="dxa"/>
            <w:tcBorders>
              <w:top w:val="single" w:sz="4" w:space="0" w:color="auto"/>
              <w:left w:val="nil"/>
              <w:right w:val="nil"/>
            </w:tcBorders>
            <w:shd w:val="clear" w:color="auto" w:fill="auto"/>
            <w:noWrap/>
            <w:vAlign w:val="center"/>
            <w:hideMark/>
          </w:tcPr>
          <w:p w14:paraId="15EE9C93"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hAnsi="Arial" w:cs="Arial"/>
                <w:b/>
                <w:i/>
                <w:color w:val="000000" w:themeColor="text1"/>
                <w:sz w:val="18"/>
                <w:szCs w:val="18"/>
              </w:rPr>
              <w:sym w:font="Symbol" w:char="F061"/>
            </w:r>
          </w:p>
        </w:tc>
      </w:tr>
      <w:tr w:rsidR="00743989" w:rsidRPr="00445E18" w14:paraId="34AF1A27" w14:textId="77777777" w:rsidTr="00ED6611">
        <w:trPr>
          <w:trHeight w:val="315"/>
        </w:trPr>
        <w:tc>
          <w:tcPr>
            <w:tcW w:w="1840" w:type="dxa"/>
            <w:vMerge/>
            <w:tcBorders>
              <w:left w:val="nil"/>
              <w:bottom w:val="single" w:sz="4" w:space="0" w:color="000000"/>
              <w:right w:val="single" w:sz="4" w:space="0" w:color="auto"/>
            </w:tcBorders>
            <w:vAlign w:val="center"/>
          </w:tcPr>
          <w:p w14:paraId="663CBCC4"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p>
        </w:tc>
        <w:tc>
          <w:tcPr>
            <w:tcW w:w="960" w:type="dxa"/>
            <w:tcBorders>
              <w:top w:val="nil"/>
              <w:left w:val="nil"/>
              <w:bottom w:val="nil"/>
              <w:right w:val="nil"/>
            </w:tcBorders>
            <w:shd w:val="clear" w:color="auto" w:fill="auto"/>
            <w:noWrap/>
            <w:vAlign w:val="center"/>
          </w:tcPr>
          <w:p w14:paraId="4322A603"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(1)</w:t>
            </w:r>
          </w:p>
        </w:tc>
        <w:tc>
          <w:tcPr>
            <w:tcW w:w="960" w:type="dxa"/>
            <w:tcBorders>
              <w:top w:val="nil"/>
              <w:left w:val="nil"/>
              <w:bottom w:val="nil"/>
              <w:right w:val="single" w:sz="4" w:space="0" w:color="auto"/>
            </w:tcBorders>
            <w:shd w:val="clear" w:color="auto" w:fill="auto"/>
            <w:noWrap/>
            <w:vAlign w:val="center"/>
          </w:tcPr>
          <w:p w14:paraId="23478FC4"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(2)</w:t>
            </w:r>
          </w:p>
        </w:tc>
        <w:tc>
          <w:tcPr>
            <w:tcW w:w="1925" w:type="dxa"/>
            <w:tcBorders>
              <w:left w:val="nil"/>
              <w:bottom w:val="nil"/>
              <w:right w:val="nil"/>
            </w:tcBorders>
            <w:shd w:val="clear" w:color="auto" w:fill="auto"/>
            <w:noWrap/>
            <w:vAlign w:val="center"/>
          </w:tcPr>
          <w:p w14:paraId="0B632168"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(3)</w:t>
            </w:r>
          </w:p>
        </w:tc>
        <w:tc>
          <w:tcPr>
            <w:tcW w:w="925" w:type="dxa"/>
            <w:tcBorders>
              <w:left w:val="single" w:sz="4" w:space="0" w:color="auto"/>
              <w:bottom w:val="single" w:sz="4" w:space="0" w:color="auto"/>
              <w:right w:val="nil"/>
            </w:tcBorders>
            <w:shd w:val="clear" w:color="auto" w:fill="auto"/>
            <w:noWrap/>
            <w:vAlign w:val="center"/>
          </w:tcPr>
          <w:p w14:paraId="7505460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(4)</w:t>
            </w:r>
          </w:p>
        </w:tc>
        <w:tc>
          <w:tcPr>
            <w:tcW w:w="924" w:type="dxa"/>
            <w:tcBorders>
              <w:left w:val="nil"/>
              <w:bottom w:val="nil"/>
              <w:right w:val="nil"/>
            </w:tcBorders>
            <w:shd w:val="clear" w:color="auto" w:fill="auto"/>
            <w:noWrap/>
            <w:vAlign w:val="center"/>
          </w:tcPr>
          <w:p w14:paraId="665C8409"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(5)</w:t>
            </w:r>
          </w:p>
        </w:tc>
        <w:tc>
          <w:tcPr>
            <w:tcW w:w="1031" w:type="dxa"/>
            <w:tcBorders>
              <w:left w:val="nil"/>
              <w:bottom w:val="nil"/>
              <w:right w:val="nil"/>
            </w:tcBorders>
            <w:shd w:val="clear" w:color="auto" w:fill="auto"/>
            <w:noWrap/>
            <w:vAlign w:val="center"/>
          </w:tcPr>
          <w:p w14:paraId="0642331A"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(6)</w:t>
            </w:r>
          </w:p>
        </w:tc>
      </w:tr>
      <w:tr w:rsidR="00743989" w:rsidRPr="00445E18" w14:paraId="2C37D96A"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3C8B1C5D"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Trabalho</w:t>
            </w:r>
          </w:p>
        </w:tc>
        <w:tc>
          <w:tcPr>
            <w:tcW w:w="960" w:type="dxa"/>
            <w:tcBorders>
              <w:top w:val="single" w:sz="4" w:space="0" w:color="auto"/>
              <w:left w:val="nil"/>
              <w:bottom w:val="nil"/>
              <w:right w:val="nil"/>
            </w:tcBorders>
            <w:shd w:val="clear" w:color="auto" w:fill="auto"/>
            <w:noWrap/>
            <w:vAlign w:val="center"/>
            <w:hideMark/>
          </w:tcPr>
          <w:p w14:paraId="3FCBFF97"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c>
          <w:tcPr>
            <w:tcW w:w="960" w:type="dxa"/>
            <w:tcBorders>
              <w:top w:val="single" w:sz="4" w:space="0" w:color="auto"/>
              <w:left w:val="nil"/>
              <w:bottom w:val="nil"/>
              <w:right w:val="single" w:sz="4" w:space="0" w:color="auto"/>
            </w:tcBorders>
            <w:shd w:val="clear" w:color="auto" w:fill="auto"/>
            <w:noWrap/>
            <w:vAlign w:val="center"/>
            <w:hideMark/>
          </w:tcPr>
          <w:p w14:paraId="10191B9A"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c>
          <w:tcPr>
            <w:tcW w:w="1925" w:type="dxa"/>
            <w:tcBorders>
              <w:top w:val="single" w:sz="4" w:space="0" w:color="auto"/>
              <w:left w:val="nil"/>
              <w:bottom w:val="nil"/>
              <w:right w:val="nil"/>
            </w:tcBorders>
            <w:shd w:val="clear" w:color="auto" w:fill="auto"/>
            <w:noWrap/>
            <w:vAlign w:val="center"/>
            <w:hideMark/>
          </w:tcPr>
          <w:p w14:paraId="2E448AF5"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c>
          <w:tcPr>
            <w:tcW w:w="925" w:type="dxa"/>
            <w:tcBorders>
              <w:top w:val="nil"/>
              <w:left w:val="single" w:sz="4" w:space="0" w:color="auto"/>
              <w:bottom w:val="nil"/>
              <w:right w:val="nil"/>
            </w:tcBorders>
            <w:shd w:val="clear" w:color="auto" w:fill="auto"/>
            <w:noWrap/>
            <w:vAlign w:val="center"/>
            <w:hideMark/>
          </w:tcPr>
          <w:p w14:paraId="1693B2B2"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c>
          <w:tcPr>
            <w:tcW w:w="924" w:type="dxa"/>
            <w:tcBorders>
              <w:top w:val="single" w:sz="4" w:space="0" w:color="auto"/>
              <w:left w:val="nil"/>
              <w:bottom w:val="nil"/>
              <w:right w:val="nil"/>
            </w:tcBorders>
            <w:shd w:val="clear" w:color="auto" w:fill="auto"/>
            <w:noWrap/>
            <w:vAlign w:val="center"/>
            <w:hideMark/>
          </w:tcPr>
          <w:p w14:paraId="3B3B1A66"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c>
          <w:tcPr>
            <w:tcW w:w="1031" w:type="dxa"/>
            <w:tcBorders>
              <w:top w:val="single" w:sz="4" w:space="0" w:color="auto"/>
              <w:left w:val="nil"/>
              <w:bottom w:val="nil"/>
              <w:right w:val="nil"/>
            </w:tcBorders>
            <w:shd w:val="clear" w:color="auto" w:fill="auto"/>
            <w:noWrap/>
            <w:vAlign w:val="center"/>
            <w:hideMark/>
          </w:tcPr>
          <w:p w14:paraId="65709CAF" w14:textId="77777777" w:rsidR="00743989" w:rsidRPr="00445E18" w:rsidRDefault="00743989" w:rsidP="003C3441">
            <w:pPr>
              <w:spacing w:after="0" w:line="240" w:lineRule="auto"/>
              <w:jc w:val="center"/>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 </w:t>
            </w:r>
          </w:p>
        </w:tc>
      </w:tr>
      <w:tr w:rsidR="00743989" w:rsidRPr="00445E18" w14:paraId="34F9B257"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759C8A4D"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Escol1</w:t>
            </w:r>
          </w:p>
        </w:tc>
        <w:tc>
          <w:tcPr>
            <w:tcW w:w="960" w:type="dxa"/>
            <w:tcBorders>
              <w:top w:val="nil"/>
              <w:left w:val="nil"/>
              <w:bottom w:val="nil"/>
              <w:right w:val="nil"/>
            </w:tcBorders>
            <w:shd w:val="clear" w:color="auto" w:fill="auto"/>
            <w:noWrap/>
            <w:vAlign w:val="center"/>
            <w:hideMark/>
          </w:tcPr>
          <w:p w14:paraId="1172A12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-0,118</w:t>
            </w:r>
          </w:p>
        </w:tc>
        <w:tc>
          <w:tcPr>
            <w:tcW w:w="960" w:type="dxa"/>
            <w:tcBorders>
              <w:top w:val="nil"/>
              <w:left w:val="nil"/>
              <w:bottom w:val="nil"/>
              <w:right w:val="single" w:sz="4" w:space="0" w:color="auto"/>
            </w:tcBorders>
            <w:shd w:val="clear" w:color="auto" w:fill="auto"/>
            <w:noWrap/>
            <w:vAlign w:val="center"/>
            <w:hideMark/>
          </w:tcPr>
          <w:p w14:paraId="759D7F0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-0,068</w:t>
            </w:r>
          </w:p>
        </w:tc>
        <w:tc>
          <w:tcPr>
            <w:tcW w:w="1925" w:type="dxa"/>
            <w:tcBorders>
              <w:top w:val="nil"/>
              <w:left w:val="nil"/>
              <w:bottom w:val="nil"/>
              <w:right w:val="nil"/>
            </w:tcBorders>
            <w:shd w:val="clear" w:color="auto" w:fill="auto"/>
            <w:noWrap/>
            <w:vAlign w:val="center"/>
            <w:hideMark/>
          </w:tcPr>
          <w:p w14:paraId="361F274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0,049</w:t>
            </w:r>
          </w:p>
        </w:tc>
        <w:tc>
          <w:tcPr>
            <w:tcW w:w="925" w:type="dxa"/>
            <w:tcBorders>
              <w:top w:val="nil"/>
              <w:left w:val="single" w:sz="4" w:space="0" w:color="auto"/>
              <w:bottom w:val="nil"/>
              <w:right w:val="nil"/>
            </w:tcBorders>
            <w:shd w:val="clear" w:color="auto" w:fill="auto"/>
            <w:noWrap/>
            <w:vAlign w:val="bottom"/>
            <w:hideMark/>
          </w:tcPr>
          <w:p w14:paraId="6432B2D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-22,43</w:t>
            </w:r>
          </w:p>
        </w:tc>
        <w:tc>
          <w:tcPr>
            <w:tcW w:w="924" w:type="dxa"/>
            <w:tcBorders>
              <w:top w:val="nil"/>
              <w:left w:val="nil"/>
              <w:bottom w:val="nil"/>
              <w:right w:val="nil"/>
            </w:tcBorders>
            <w:shd w:val="clear" w:color="auto" w:fill="auto"/>
            <w:noWrap/>
            <w:vAlign w:val="bottom"/>
            <w:hideMark/>
          </w:tcPr>
          <w:p w14:paraId="08030EF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0,94</w:t>
            </w:r>
          </w:p>
        </w:tc>
        <w:tc>
          <w:tcPr>
            <w:tcW w:w="1031" w:type="dxa"/>
            <w:tcBorders>
              <w:top w:val="nil"/>
              <w:left w:val="nil"/>
              <w:bottom w:val="nil"/>
              <w:right w:val="nil"/>
            </w:tcBorders>
            <w:shd w:val="clear" w:color="auto" w:fill="auto"/>
            <w:noWrap/>
            <w:vAlign w:val="bottom"/>
            <w:hideMark/>
          </w:tcPr>
          <w:p w14:paraId="7860CF3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121,49</w:t>
            </w:r>
          </w:p>
        </w:tc>
      </w:tr>
      <w:tr w:rsidR="00743989" w:rsidRPr="00445E18" w14:paraId="35204BEA"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6A3B9323"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Escol2</w:t>
            </w:r>
          </w:p>
        </w:tc>
        <w:tc>
          <w:tcPr>
            <w:tcW w:w="960" w:type="dxa"/>
            <w:tcBorders>
              <w:top w:val="nil"/>
              <w:left w:val="nil"/>
              <w:bottom w:val="nil"/>
              <w:right w:val="nil"/>
            </w:tcBorders>
            <w:shd w:val="clear" w:color="auto" w:fill="auto"/>
            <w:noWrap/>
            <w:vAlign w:val="center"/>
            <w:hideMark/>
          </w:tcPr>
          <w:p w14:paraId="0A88964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0,021</w:t>
            </w:r>
          </w:p>
        </w:tc>
        <w:tc>
          <w:tcPr>
            <w:tcW w:w="960" w:type="dxa"/>
            <w:tcBorders>
              <w:top w:val="nil"/>
              <w:left w:val="nil"/>
              <w:bottom w:val="nil"/>
              <w:right w:val="single" w:sz="4" w:space="0" w:color="auto"/>
            </w:tcBorders>
            <w:shd w:val="clear" w:color="auto" w:fill="auto"/>
            <w:noWrap/>
            <w:vAlign w:val="center"/>
            <w:hideMark/>
          </w:tcPr>
          <w:p w14:paraId="34F9351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-0,013</w:t>
            </w:r>
          </w:p>
        </w:tc>
        <w:tc>
          <w:tcPr>
            <w:tcW w:w="1925" w:type="dxa"/>
            <w:tcBorders>
              <w:top w:val="nil"/>
              <w:left w:val="nil"/>
              <w:bottom w:val="nil"/>
              <w:right w:val="nil"/>
            </w:tcBorders>
            <w:shd w:val="clear" w:color="auto" w:fill="auto"/>
            <w:noWrap/>
            <w:vAlign w:val="center"/>
            <w:hideMark/>
          </w:tcPr>
          <w:p w14:paraId="5775DE3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-0,034</w:t>
            </w:r>
          </w:p>
        </w:tc>
        <w:tc>
          <w:tcPr>
            <w:tcW w:w="925" w:type="dxa"/>
            <w:tcBorders>
              <w:top w:val="nil"/>
              <w:left w:val="single" w:sz="4" w:space="0" w:color="auto"/>
              <w:bottom w:val="nil"/>
              <w:right w:val="nil"/>
            </w:tcBorders>
            <w:shd w:val="clear" w:color="auto" w:fill="auto"/>
            <w:noWrap/>
            <w:vAlign w:val="bottom"/>
            <w:hideMark/>
          </w:tcPr>
          <w:p w14:paraId="5FDB96C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126,92</w:t>
            </w:r>
          </w:p>
        </w:tc>
        <w:tc>
          <w:tcPr>
            <w:tcW w:w="924" w:type="dxa"/>
            <w:tcBorders>
              <w:top w:val="nil"/>
              <w:left w:val="nil"/>
              <w:bottom w:val="nil"/>
              <w:right w:val="nil"/>
            </w:tcBorders>
            <w:shd w:val="clear" w:color="auto" w:fill="auto"/>
            <w:noWrap/>
            <w:vAlign w:val="bottom"/>
            <w:hideMark/>
          </w:tcPr>
          <w:p w14:paraId="06357C7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-25,68</w:t>
            </w:r>
          </w:p>
        </w:tc>
        <w:tc>
          <w:tcPr>
            <w:tcW w:w="1031" w:type="dxa"/>
            <w:tcBorders>
              <w:top w:val="nil"/>
              <w:left w:val="nil"/>
              <w:bottom w:val="nil"/>
              <w:right w:val="nil"/>
            </w:tcBorders>
            <w:shd w:val="clear" w:color="auto" w:fill="auto"/>
            <w:noWrap/>
            <w:vAlign w:val="bottom"/>
            <w:hideMark/>
          </w:tcPr>
          <w:p w14:paraId="4CF3841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-1,24</w:t>
            </w:r>
          </w:p>
        </w:tc>
      </w:tr>
      <w:tr w:rsidR="00743989" w:rsidRPr="00445E18" w14:paraId="1CD19F84"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330D21C1"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Escol3</w:t>
            </w:r>
          </w:p>
        </w:tc>
        <w:tc>
          <w:tcPr>
            <w:tcW w:w="960" w:type="dxa"/>
            <w:tcBorders>
              <w:top w:val="nil"/>
              <w:left w:val="nil"/>
              <w:bottom w:val="nil"/>
              <w:right w:val="nil"/>
            </w:tcBorders>
            <w:shd w:val="clear" w:color="auto" w:fill="auto"/>
            <w:noWrap/>
            <w:vAlign w:val="center"/>
            <w:hideMark/>
          </w:tcPr>
          <w:p w14:paraId="19D4C97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0,026</w:t>
            </w:r>
          </w:p>
        </w:tc>
        <w:tc>
          <w:tcPr>
            <w:tcW w:w="960" w:type="dxa"/>
            <w:tcBorders>
              <w:top w:val="nil"/>
              <w:left w:val="nil"/>
              <w:bottom w:val="nil"/>
              <w:right w:val="single" w:sz="4" w:space="0" w:color="auto"/>
            </w:tcBorders>
            <w:shd w:val="clear" w:color="auto" w:fill="auto"/>
            <w:noWrap/>
            <w:vAlign w:val="center"/>
            <w:hideMark/>
          </w:tcPr>
          <w:p w14:paraId="1341F11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-0,001</w:t>
            </w:r>
          </w:p>
        </w:tc>
        <w:tc>
          <w:tcPr>
            <w:tcW w:w="1925" w:type="dxa"/>
            <w:tcBorders>
              <w:top w:val="nil"/>
              <w:left w:val="nil"/>
              <w:bottom w:val="nil"/>
              <w:right w:val="nil"/>
            </w:tcBorders>
            <w:shd w:val="clear" w:color="auto" w:fill="auto"/>
            <w:noWrap/>
            <w:vAlign w:val="center"/>
            <w:hideMark/>
          </w:tcPr>
          <w:p w14:paraId="63C9BEF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-0,027</w:t>
            </w:r>
          </w:p>
        </w:tc>
        <w:tc>
          <w:tcPr>
            <w:tcW w:w="925" w:type="dxa"/>
            <w:tcBorders>
              <w:top w:val="nil"/>
              <w:left w:val="single" w:sz="4" w:space="0" w:color="auto"/>
              <w:bottom w:val="nil"/>
              <w:right w:val="nil"/>
            </w:tcBorders>
            <w:shd w:val="clear" w:color="auto" w:fill="auto"/>
            <w:noWrap/>
            <w:vAlign w:val="bottom"/>
            <w:hideMark/>
          </w:tcPr>
          <w:p w14:paraId="4DAEEC0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120,25</w:t>
            </w:r>
          </w:p>
        </w:tc>
        <w:tc>
          <w:tcPr>
            <w:tcW w:w="924" w:type="dxa"/>
            <w:tcBorders>
              <w:top w:val="nil"/>
              <w:left w:val="nil"/>
              <w:bottom w:val="nil"/>
              <w:right w:val="nil"/>
            </w:tcBorders>
            <w:shd w:val="clear" w:color="auto" w:fill="auto"/>
            <w:noWrap/>
            <w:vAlign w:val="bottom"/>
            <w:hideMark/>
          </w:tcPr>
          <w:p w14:paraId="4AA0D50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-25,83</w:t>
            </w:r>
          </w:p>
        </w:tc>
        <w:tc>
          <w:tcPr>
            <w:tcW w:w="1031" w:type="dxa"/>
            <w:tcBorders>
              <w:top w:val="nil"/>
              <w:left w:val="nil"/>
              <w:bottom w:val="nil"/>
              <w:right w:val="nil"/>
            </w:tcBorders>
            <w:shd w:val="clear" w:color="auto" w:fill="auto"/>
            <w:noWrap/>
            <w:vAlign w:val="bottom"/>
            <w:hideMark/>
          </w:tcPr>
          <w:p w14:paraId="17185DC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5,58</w:t>
            </w:r>
          </w:p>
        </w:tc>
      </w:tr>
      <w:tr w:rsidR="00743989" w:rsidRPr="00445E18" w14:paraId="2579ED33"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30E13BBC"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Escol4</w:t>
            </w:r>
          </w:p>
        </w:tc>
        <w:tc>
          <w:tcPr>
            <w:tcW w:w="960" w:type="dxa"/>
            <w:tcBorders>
              <w:top w:val="nil"/>
              <w:left w:val="nil"/>
              <w:bottom w:val="nil"/>
              <w:right w:val="nil"/>
            </w:tcBorders>
            <w:shd w:val="clear" w:color="auto" w:fill="auto"/>
            <w:noWrap/>
            <w:vAlign w:val="center"/>
            <w:hideMark/>
          </w:tcPr>
          <w:p w14:paraId="4BBD584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0,038</w:t>
            </w:r>
          </w:p>
        </w:tc>
        <w:tc>
          <w:tcPr>
            <w:tcW w:w="960" w:type="dxa"/>
            <w:tcBorders>
              <w:top w:val="nil"/>
              <w:left w:val="nil"/>
              <w:bottom w:val="nil"/>
              <w:right w:val="single" w:sz="4" w:space="0" w:color="auto"/>
            </w:tcBorders>
            <w:shd w:val="clear" w:color="auto" w:fill="auto"/>
            <w:noWrap/>
            <w:vAlign w:val="center"/>
            <w:hideMark/>
          </w:tcPr>
          <w:p w14:paraId="39F0E32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0,002</w:t>
            </w:r>
          </w:p>
        </w:tc>
        <w:tc>
          <w:tcPr>
            <w:tcW w:w="1925" w:type="dxa"/>
            <w:tcBorders>
              <w:top w:val="nil"/>
              <w:left w:val="nil"/>
              <w:bottom w:val="nil"/>
              <w:right w:val="nil"/>
            </w:tcBorders>
            <w:shd w:val="clear" w:color="auto" w:fill="auto"/>
            <w:noWrap/>
            <w:vAlign w:val="center"/>
            <w:hideMark/>
          </w:tcPr>
          <w:p w14:paraId="69481C7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-0,035</w:t>
            </w:r>
          </w:p>
        </w:tc>
        <w:tc>
          <w:tcPr>
            <w:tcW w:w="925" w:type="dxa"/>
            <w:tcBorders>
              <w:top w:val="nil"/>
              <w:left w:val="single" w:sz="4" w:space="0" w:color="auto"/>
              <w:bottom w:val="nil"/>
              <w:right w:val="nil"/>
            </w:tcBorders>
            <w:shd w:val="clear" w:color="auto" w:fill="auto"/>
            <w:noWrap/>
            <w:vAlign w:val="bottom"/>
            <w:hideMark/>
          </w:tcPr>
          <w:p w14:paraId="0E783F3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160,27</w:t>
            </w:r>
          </w:p>
        </w:tc>
        <w:tc>
          <w:tcPr>
            <w:tcW w:w="924" w:type="dxa"/>
            <w:tcBorders>
              <w:top w:val="nil"/>
              <w:left w:val="nil"/>
              <w:bottom w:val="nil"/>
              <w:right w:val="nil"/>
            </w:tcBorders>
            <w:shd w:val="clear" w:color="auto" w:fill="auto"/>
            <w:noWrap/>
            <w:vAlign w:val="bottom"/>
            <w:hideMark/>
          </w:tcPr>
          <w:p w14:paraId="361E203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-47,11</w:t>
            </w:r>
          </w:p>
        </w:tc>
        <w:tc>
          <w:tcPr>
            <w:tcW w:w="1031" w:type="dxa"/>
            <w:tcBorders>
              <w:top w:val="nil"/>
              <w:left w:val="nil"/>
              <w:bottom w:val="nil"/>
              <w:right w:val="nil"/>
            </w:tcBorders>
            <w:shd w:val="clear" w:color="auto" w:fill="auto"/>
            <w:noWrap/>
            <w:vAlign w:val="bottom"/>
            <w:hideMark/>
          </w:tcPr>
          <w:p w14:paraId="3CC67B6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-13,15</w:t>
            </w:r>
          </w:p>
        </w:tc>
      </w:tr>
      <w:tr w:rsidR="00743989" w:rsidRPr="00445E18" w14:paraId="77CAFF08"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518D86E2"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Escol5</w:t>
            </w:r>
          </w:p>
        </w:tc>
        <w:tc>
          <w:tcPr>
            <w:tcW w:w="960" w:type="dxa"/>
            <w:tcBorders>
              <w:top w:val="nil"/>
              <w:left w:val="nil"/>
              <w:bottom w:val="nil"/>
              <w:right w:val="nil"/>
            </w:tcBorders>
            <w:shd w:val="clear" w:color="auto" w:fill="auto"/>
            <w:noWrap/>
            <w:vAlign w:val="center"/>
            <w:hideMark/>
          </w:tcPr>
          <w:p w14:paraId="3D7C5F46"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0,075</w:t>
            </w:r>
          </w:p>
        </w:tc>
        <w:tc>
          <w:tcPr>
            <w:tcW w:w="960" w:type="dxa"/>
            <w:tcBorders>
              <w:top w:val="nil"/>
              <w:left w:val="nil"/>
              <w:bottom w:val="nil"/>
              <w:right w:val="single" w:sz="4" w:space="0" w:color="auto"/>
            </w:tcBorders>
            <w:shd w:val="clear" w:color="auto" w:fill="auto"/>
            <w:noWrap/>
            <w:vAlign w:val="center"/>
            <w:hideMark/>
          </w:tcPr>
          <w:p w14:paraId="675FCBB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0,146</w:t>
            </w:r>
          </w:p>
        </w:tc>
        <w:tc>
          <w:tcPr>
            <w:tcW w:w="1925" w:type="dxa"/>
            <w:tcBorders>
              <w:top w:val="nil"/>
              <w:left w:val="nil"/>
              <w:bottom w:val="nil"/>
              <w:right w:val="nil"/>
            </w:tcBorders>
            <w:shd w:val="clear" w:color="auto" w:fill="auto"/>
            <w:noWrap/>
            <w:vAlign w:val="center"/>
            <w:hideMark/>
          </w:tcPr>
          <w:p w14:paraId="6117B3D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0,070</w:t>
            </w:r>
          </w:p>
        </w:tc>
        <w:tc>
          <w:tcPr>
            <w:tcW w:w="925" w:type="dxa"/>
            <w:tcBorders>
              <w:top w:val="nil"/>
              <w:left w:val="single" w:sz="4" w:space="0" w:color="auto"/>
              <w:bottom w:val="nil"/>
              <w:right w:val="nil"/>
            </w:tcBorders>
            <w:shd w:val="clear" w:color="auto" w:fill="auto"/>
            <w:noWrap/>
            <w:vAlign w:val="bottom"/>
            <w:hideMark/>
          </w:tcPr>
          <w:p w14:paraId="655A9F4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33,37</w:t>
            </w:r>
          </w:p>
        </w:tc>
        <w:tc>
          <w:tcPr>
            <w:tcW w:w="924" w:type="dxa"/>
            <w:tcBorders>
              <w:top w:val="nil"/>
              <w:left w:val="nil"/>
              <w:bottom w:val="nil"/>
              <w:right w:val="nil"/>
            </w:tcBorders>
            <w:shd w:val="clear" w:color="auto" w:fill="auto"/>
            <w:noWrap/>
            <w:vAlign w:val="bottom"/>
            <w:hideMark/>
          </w:tcPr>
          <w:p w14:paraId="609C9F9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27,84</w:t>
            </w:r>
          </w:p>
        </w:tc>
        <w:tc>
          <w:tcPr>
            <w:tcW w:w="1031" w:type="dxa"/>
            <w:tcBorders>
              <w:top w:val="nil"/>
              <w:left w:val="nil"/>
              <w:bottom w:val="nil"/>
              <w:right w:val="nil"/>
            </w:tcBorders>
            <w:shd w:val="clear" w:color="auto" w:fill="auto"/>
            <w:noWrap/>
            <w:vAlign w:val="bottom"/>
            <w:hideMark/>
          </w:tcPr>
          <w:p w14:paraId="73A40E7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38,80</w:t>
            </w:r>
          </w:p>
        </w:tc>
      </w:tr>
      <w:tr w:rsidR="00743989" w:rsidRPr="00445E18" w14:paraId="58BA092F"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41A6CB05" w14:textId="77777777" w:rsidR="00743989" w:rsidRPr="00445E18" w:rsidRDefault="00743989" w:rsidP="003C3441">
            <w:pPr>
              <w:spacing w:after="0" w:line="240" w:lineRule="auto"/>
              <w:rPr>
                <w:rFonts w:ascii="Arial" w:eastAsia="Times New Roman" w:hAnsi="Arial" w:cs="Arial"/>
                <w:b/>
                <w:bCs/>
                <w:color w:val="000000" w:themeColor="text1"/>
                <w:sz w:val="18"/>
                <w:szCs w:val="18"/>
                <w:lang w:eastAsia="pt-BR"/>
              </w:rPr>
            </w:pPr>
            <w:r w:rsidRPr="00445E18">
              <w:rPr>
                <w:rFonts w:ascii="Arial" w:eastAsia="Times New Roman" w:hAnsi="Arial" w:cs="Arial"/>
                <w:b/>
                <w:bCs/>
                <w:color w:val="000000" w:themeColor="text1"/>
                <w:sz w:val="18"/>
                <w:szCs w:val="18"/>
                <w:lang w:eastAsia="pt-BR"/>
              </w:rPr>
              <w:t>Outras</w:t>
            </w:r>
          </w:p>
        </w:tc>
        <w:tc>
          <w:tcPr>
            <w:tcW w:w="960" w:type="dxa"/>
            <w:tcBorders>
              <w:top w:val="nil"/>
              <w:left w:val="nil"/>
              <w:bottom w:val="nil"/>
              <w:right w:val="nil"/>
            </w:tcBorders>
            <w:shd w:val="clear" w:color="auto" w:fill="auto"/>
            <w:noWrap/>
            <w:vAlign w:val="center"/>
            <w:hideMark/>
          </w:tcPr>
          <w:p w14:paraId="36C7550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960" w:type="dxa"/>
            <w:tcBorders>
              <w:top w:val="nil"/>
              <w:left w:val="nil"/>
              <w:bottom w:val="nil"/>
              <w:right w:val="nil"/>
            </w:tcBorders>
            <w:shd w:val="clear" w:color="auto" w:fill="auto"/>
            <w:noWrap/>
            <w:vAlign w:val="center"/>
            <w:hideMark/>
          </w:tcPr>
          <w:p w14:paraId="1816FCE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925" w:type="dxa"/>
            <w:tcBorders>
              <w:top w:val="nil"/>
              <w:left w:val="single" w:sz="4" w:space="0" w:color="auto"/>
              <w:bottom w:val="nil"/>
              <w:right w:val="single" w:sz="4" w:space="0" w:color="auto"/>
            </w:tcBorders>
            <w:shd w:val="clear" w:color="auto" w:fill="auto"/>
            <w:noWrap/>
            <w:vAlign w:val="center"/>
            <w:hideMark/>
          </w:tcPr>
          <w:p w14:paraId="44F1560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 </w:t>
            </w:r>
          </w:p>
        </w:tc>
        <w:tc>
          <w:tcPr>
            <w:tcW w:w="925" w:type="dxa"/>
            <w:tcBorders>
              <w:top w:val="nil"/>
              <w:left w:val="nil"/>
              <w:bottom w:val="nil"/>
              <w:right w:val="nil"/>
            </w:tcBorders>
            <w:shd w:val="clear" w:color="auto" w:fill="auto"/>
            <w:noWrap/>
            <w:vAlign w:val="center"/>
            <w:hideMark/>
          </w:tcPr>
          <w:p w14:paraId="797E2D25"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 </w:t>
            </w:r>
          </w:p>
        </w:tc>
        <w:tc>
          <w:tcPr>
            <w:tcW w:w="924" w:type="dxa"/>
            <w:tcBorders>
              <w:top w:val="nil"/>
              <w:left w:val="nil"/>
              <w:bottom w:val="nil"/>
              <w:right w:val="nil"/>
            </w:tcBorders>
            <w:shd w:val="clear" w:color="auto" w:fill="auto"/>
            <w:noWrap/>
            <w:vAlign w:val="center"/>
            <w:hideMark/>
          </w:tcPr>
          <w:p w14:paraId="7896E62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c>
          <w:tcPr>
            <w:tcW w:w="1031" w:type="dxa"/>
            <w:tcBorders>
              <w:top w:val="nil"/>
              <w:left w:val="nil"/>
              <w:bottom w:val="nil"/>
              <w:right w:val="nil"/>
            </w:tcBorders>
            <w:shd w:val="clear" w:color="auto" w:fill="auto"/>
            <w:noWrap/>
            <w:vAlign w:val="center"/>
            <w:hideMark/>
          </w:tcPr>
          <w:p w14:paraId="5007DD1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p>
        </w:tc>
      </w:tr>
      <w:tr w:rsidR="00743989" w:rsidRPr="00445E18" w14:paraId="57299AD0"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73FF28A3"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Após. E pensões</w:t>
            </w:r>
          </w:p>
        </w:tc>
        <w:tc>
          <w:tcPr>
            <w:tcW w:w="960" w:type="dxa"/>
            <w:tcBorders>
              <w:top w:val="nil"/>
              <w:left w:val="nil"/>
              <w:bottom w:val="nil"/>
              <w:right w:val="nil"/>
            </w:tcBorders>
            <w:shd w:val="clear" w:color="auto" w:fill="auto"/>
            <w:noWrap/>
            <w:vAlign w:val="center"/>
            <w:hideMark/>
          </w:tcPr>
          <w:p w14:paraId="1EC6E9E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-0,044</w:t>
            </w:r>
          </w:p>
        </w:tc>
        <w:tc>
          <w:tcPr>
            <w:tcW w:w="960" w:type="dxa"/>
            <w:tcBorders>
              <w:top w:val="nil"/>
              <w:left w:val="nil"/>
              <w:bottom w:val="nil"/>
              <w:right w:val="single" w:sz="4" w:space="0" w:color="auto"/>
            </w:tcBorders>
            <w:shd w:val="clear" w:color="auto" w:fill="auto"/>
            <w:noWrap/>
            <w:vAlign w:val="center"/>
            <w:hideMark/>
          </w:tcPr>
          <w:p w14:paraId="50072F89"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-0,028</w:t>
            </w:r>
          </w:p>
        </w:tc>
        <w:tc>
          <w:tcPr>
            <w:tcW w:w="1925" w:type="dxa"/>
            <w:tcBorders>
              <w:top w:val="nil"/>
              <w:left w:val="nil"/>
              <w:bottom w:val="nil"/>
              <w:right w:val="nil"/>
            </w:tcBorders>
            <w:shd w:val="clear" w:color="auto" w:fill="auto"/>
            <w:noWrap/>
            <w:vAlign w:val="center"/>
            <w:hideMark/>
          </w:tcPr>
          <w:p w14:paraId="3EB7699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0,017</w:t>
            </w:r>
          </w:p>
        </w:tc>
        <w:tc>
          <w:tcPr>
            <w:tcW w:w="925" w:type="dxa"/>
            <w:tcBorders>
              <w:top w:val="nil"/>
              <w:left w:val="single" w:sz="4" w:space="0" w:color="auto"/>
              <w:bottom w:val="nil"/>
              <w:right w:val="nil"/>
            </w:tcBorders>
            <w:shd w:val="clear" w:color="auto" w:fill="auto"/>
            <w:noWrap/>
            <w:vAlign w:val="center"/>
            <w:hideMark/>
          </w:tcPr>
          <w:p w14:paraId="1D5AC95B"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123,95</w:t>
            </w:r>
          </w:p>
        </w:tc>
        <w:tc>
          <w:tcPr>
            <w:tcW w:w="924" w:type="dxa"/>
            <w:tcBorders>
              <w:top w:val="nil"/>
              <w:left w:val="nil"/>
              <w:bottom w:val="nil"/>
              <w:right w:val="nil"/>
            </w:tcBorders>
            <w:shd w:val="clear" w:color="auto" w:fill="auto"/>
            <w:noWrap/>
            <w:vAlign w:val="center"/>
            <w:hideMark/>
          </w:tcPr>
          <w:p w14:paraId="3EEB796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44,727</w:t>
            </w:r>
          </w:p>
        </w:tc>
        <w:tc>
          <w:tcPr>
            <w:tcW w:w="1031" w:type="dxa"/>
            <w:tcBorders>
              <w:top w:val="nil"/>
              <w:left w:val="nil"/>
              <w:bottom w:val="nil"/>
              <w:right w:val="nil"/>
            </w:tcBorders>
            <w:shd w:val="clear" w:color="auto" w:fill="auto"/>
            <w:noWrap/>
            <w:vAlign w:val="center"/>
            <w:hideMark/>
          </w:tcPr>
          <w:p w14:paraId="6A9E54D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-68,677</w:t>
            </w:r>
          </w:p>
        </w:tc>
      </w:tr>
      <w:tr w:rsidR="00743989" w:rsidRPr="00445E18" w14:paraId="053B205F"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72250E2D"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BPC</w:t>
            </w:r>
          </w:p>
        </w:tc>
        <w:tc>
          <w:tcPr>
            <w:tcW w:w="960" w:type="dxa"/>
            <w:tcBorders>
              <w:top w:val="nil"/>
              <w:left w:val="nil"/>
              <w:bottom w:val="nil"/>
              <w:right w:val="nil"/>
            </w:tcBorders>
            <w:shd w:val="clear" w:color="auto" w:fill="auto"/>
            <w:noWrap/>
            <w:vAlign w:val="center"/>
            <w:hideMark/>
          </w:tcPr>
          <w:p w14:paraId="129DD4C7"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0,000</w:t>
            </w:r>
          </w:p>
        </w:tc>
        <w:tc>
          <w:tcPr>
            <w:tcW w:w="960" w:type="dxa"/>
            <w:tcBorders>
              <w:top w:val="nil"/>
              <w:left w:val="nil"/>
              <w:bottom w:val="nil"/>
              <w:right w:val="single" w:sz="4" w:space="0" w:color="auto"/>
            </w:tcBorders>
            <w:shd w:val="clear" w:color="auto" w:fill="auto"/>
            <w:noWrap/>
            <w:vAlign w:val="center"/>
            <w:hideMark/>
          </w:tcPr>
          <w:p w14:paraId="4BF896A8"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-0,012</w:t>
            </w:r>
          </w:p>
        </w:tc>
        <w:tc>
          <w:tcPr>
            <w:tcW w:w="1925" w:type="dxa"/>
            <w:tcBorders>
              <w:top w:val="nil"/>
              <w:left w:val="nil"/>
              <w:bottom w:val="nil"/>
              <w:right w:val="nil"/>
            </w:tcBorders>
            <w:shd w:val="clear" w:color="auto" w:fill="auto"/>
            <w:noWrap/>
            <w:vAlign w:val="center"/>
            <w:hideMark/>
          </w:tcPr>
          <w:p w14:paraId="1AB885F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-0,012</w:t>
            </w:r>
          </w:p>
        </w:tc>
        <w:tc>
          <w:tcPr>
            <w:tcW w:w="925" w:type="dxa"/>
            <w:tcBorders>
              <w:top w:val="nil"/>
              <w:left w:val="single" w:sz="4" w:space="0" w:color="auto"/>
              <w:bottom w:val="nil"/>
              <w:right w:val="nil"/>
            </w:tcBorders>
            <w:shd w:val="clear" w:color="auto" w:fill="auto"/>
            <w:noWrap/>
            <w:vAlign w:val="bottom"/>
            <w:hideMark/>
          </w:tcPr>
          <w:p w14:paraId="33F94EBF"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18,32</w:t>
            </w:r>
          </w:p>
        </w:tc>
        <w:tc>
          <w:tcPr>
            <w:tcW w:w="924" w:type="dxa"/>
            <w:tcBorders>
              <w:top w:val="nil"/>
              <w:left w:val="nil"/>
              <w:bottom w:val="nil"/>
              <w:right w:val="nil"/>
            </w:tcBorders>
            <w:shd w:val="clear" w:color="auto" w:fill="auto"/>
            <w:noWrap/>
            <w:vAlign w:val="center"/>
            <w:hideMark/>
          </w:tcPr>
          <w:p w14:paraId="7E4EB752"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0,74</w:t>
            </w:r>
          </w:p>
        </w:tc>
        <w:tc>
          <w:tcPr>
            <w:tcW w:w="1031" w:type="dxa"/>
            <w:tcBorders>
              <w:top w:val="nil"/>
              <w:left w:val="nil"/>
              <w:bottom w:val="nil"/>
              <w:right w:val="nil"/>
            </w:tcBorders>
            <w:shd w:val="clear" w:color="auto" w:fill="auto"/>
            <w:noWrap/>
            <w:vAlign w:val="center"/>
            <w:hideMark/>
          </w:tcPr>
          <w:p w14:paraId="2CDBBF0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80,94</w:t>
            </w:r>
          </w:p>
        </w:tc>
      </w:tr>
      <w:tr w:rsidR="00743989" w:rsidRPr="00445E18" w14:paraId="397B5477"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485586EC"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BF</w:t>
            </w:r>
          </w:p>
        </w:tc>
        <w:tc>
          <w:tcPr>
            <w:tcW w:w="960" w:type="dxa"/>
            <w:tcBorders>
              <w:top w:val="nil"/>
              <w:left w:val="nil"/>
              <w:bottom w:val="nil"/>
              <w:right w:val="nil"/>
            </w:tcBorders>
            <w:shd w:val="clear" w:color="auto" w:fill="auto"/>
            <w:noWrap/>
            <w:vAlign w:val="center"/>
            <w:hideMark/>
          </w:tcPr>
          <w:p w14:paraId="1425DE3C"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0,000</w:t>
            </w:r>
          </w:p>
        </w:tc>
        <w:tc>
          <w:tcPr>
            <w:tcW w:w="960" w:type="dxa"/>
            <w:tcBorders>
              <w:top w:val="nil"/>
              <w:left w:val="nil"/>
              <w:bottom w:val="nil"/>
              <w:right w:val="single" w:sz="4" w:space="0" w:color="auto"/>
            </w:tcBorders>
            <w:shd w:val="clear" w:color="auto" w:fill="auto"/>
            <w:noWrap/>
            <w:vAlign w:val="center"/>
            <w:hideMark/>
          </w:tcPr>
          <w:p w14:paraId="0BCB56C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-0,028</w:t>
            </w:r>
          </w:p>
        </w:tc>
        <w:tc>
          <w:tcPr>
            <w:tcW w:w="1925" w:type="dxa"/>
            <w:tcBorders>
              <w:top w:val="nil"/>
              <w:left w:val="nil"/>
              <w:bottom w:val="nil"/>
              <w:right w:val="nil"/>
            </w:tcBorders>
            <w:shd w:val="clear" w:color="auto" w:fill="auto"/>
            <w:noWrap/>
            <w:vAlign w:val="center"/>
            <w:hideMark/>
          </w:tcPr>
          <w:p w14:paraId="12CBCB0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-0,028</w:t>
            </w:r>
          </w:p>
        </w:tc>
        <w:tc>
          <w:tcPr>
            <w:tcW w:w="925" w:type="dxa"/>
            <w:tcBorders>
              <w:top w:val="nil"/>
              <w:left w:val="single" w:sz="4" w:space="0" w:color="auto"/>
              <w:bottom w:val="nil"/>
              <w:right w:val="nil"/>
            </w:tcBorders>
            <w:shd w:val="clear" w:color="auto" w:fill="auto"/>
            <w:noWrap/>
            <w:vAlign w:val="bottom"/>
            <w:hideMark/>
          </w:tcPr>
          <w:p w14:paraId="2F37DB9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26,40</w:t>
            </w:r>
          </w:p>
        </w:tc>
        <w:tc>
          <w:tcPr>
            <w:tcW w:w="924" w:type="dxa"/>
            <w:tcBorders>
              <w:top w:val="nil"/>
              <w:left w:val="nil"/>
              <w:bottom w:val="nil"/>
              <w:right w:val="nil"/>
            </w:tcBorders>
            <w:shd w:val="clear" w:color="auto" w:fill="auto"/>
            <w:noWrap/>
            <w:vAlign w:val="bottom"/>
            <w:hideMark/>
          </w:tcPr>
          <w:p w14:paraId="0CF06E8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1,07</w:t>
            </w:r>
          </w:p>
        </w:tc>
        <w:tc>
          <w:tcPr>
            <w:tcW w:w="1031" w:type="dxa"/>
            <w:tcBorders>
              <w:top w:val="nil"/>
              <w:left w:val="nil"/>
              <w:bottom w:val="nil"/>
              <w:right w:val="nil"/>
            </w:tcBorders>
            <w:shd w:val="clear" w:color="auto" w:fill="auto"/>
            <w:noWrap/>
            <w:vAlign w:val="bottom"/>
            <w:hideMark/>
          </w:tcPr>
          <w:p w14:paraId="7ECDD54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72,54</w:t>
            </w:r>
          </w:p>
        </w:tc>
      </w:tr>
      <w:tr w:rsidR="00743989" w:rsidRPr="00445E18" w14:paraId="594B4BEC" w14:textId="77777777" w:rsidTr="00ED6611">
        <w:trPr>
          <w:trHeight w:val="315"/>
        </w:trPr>
        <w:tc>
          <w:tcPr>
            <w:tcW w:w="1840" w:type="dxa"/>
            <w:tcBorders>
              <w:top w:val="nil"/>
              <w:left w:val="nil"/>
              <w:bottom w:val="nil"/>
              <w:right w:val="single" w:sz="4" w:space="0" w:color="auto"/>
            </w:tcBorders>
            <w:shd w:val="clear" w:color="auto" w:fill="auto"/>
            <w:noWrap/>
            <w:vAlign w:val="center"/>
            <w:hideMark/>
          </w:tcPr>
          <w:p w14:paraId="4B642D13"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 xml:space="preserve">Capital </w:t>
            </w:r>
          </w:p>
        </w:tc>
        <w:tc>
          <w:tcPr>
            <w:tcW w:w="960" w:type="dxa"/>
            <w:tcBorders>
              <w:top w:val="nil"/>
              <w:left w:val="nil"/>
              <w:right w:val="nil"/>
            </w:tcBorders>
            <w:shd w:val="clear" w:color="auto" w:fill="auto"/>
            <w:noWrap/>
            <w:vAlign w:val="center"/>
            <w:hideMark/>
          </w:tcPr>
          <w:p w14:paraId="5D22158E"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0,002</w:t>
            </w:r>
          </w:p>
        </w:tc>
        <w:tc>
          <w:tcPr>
            <w:tcW w:w="960" w:type="dxa"/>
            <w:tcBorders>
              <w:top w:val="nil"/>
              <w:left w:val="nil"/>
              <w:right w:val="single" w:sz="4" w:space="0" w:color="auto"/>
            </w:tcBorders>
            <w:shd w:val="clear" w:color="auto" w:fill="auto"/>
            <w:noWrap/>
            <w:vAlign w:val="center"/>
            <w:hideMark/>
          </w:tcPr>
          <w:p w14:paraId="7FA1D8C0"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-0,001</w:t>
            </w:r>
          </w:p>
        </w:tc>
        <w:tc>
          <w:tcPr>
            <w:tcW w:w="1925" w:type="dxa"/>
            <w:tcBorders>
              <w:top w:val="nil"/>
              <w:left w:val="nil"/>
              <w:right w:val="nil"/>
            </w:tcBorders>
            <w:shd w:val="clear" w:color="auto" w:fill="auto"/>
            <w:noWrap/>
            <w:vAlign w:val="center"/>
            <w:hideMark/>
          </w:tcPr>
          <w:p w14:paraId="7F053AB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-0,002</w:t>
            </w:r>
          </w:p>
        </w:tc>
        <w:tc>
          <w:tcPr>
            <w:tcW w:w="925" w:type="dxa"/>
            <w:tcBorders>
              <w:top w:val="nil"/>
              <w:left w:val="single" w:sz="4" w:space="0" w:color="auto"/>
              <w:right w:val="nil"/>
            </w:tcBorders>
            <w:shd w:val="clear" w:color="auto" w:fill="auto"/>
            <w:noWrap/>
            <w:vAlign w:val="bottom"/>
            <w:hideMark/>
          </w:tcPr>
          <w:p w14:paraId="06AAF0E1"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113,53</w:t>
            </w:r>
          </w:p>
        </w:tc>
        <w:tc>
          <w:tcPr>
            <w:tcW w:w="924" w:type="dxa"/>
            <w:tcBorders>
              <w:top w:val="nil"/>
              <w:left w:val="nil"/>
              <w:right w:val="nil"/>
            </w:tcBorders>
            <w:shd w:val="clear" w:color="auto" w:fill="auto"/>
            <w:noWrap/>
            <w:vAlign w:val="bottom"/>
            <w:hideMark/>
          </w:tcPr>
          <w:p w14:paraId="66E78C3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-16,50</w:t>
            </w:r>
          </w:p>
        </w:tc>
        <w:tc>
          <w:tcPr>
            <w:tcW w:w="1031" w:type="dxa"/>
            <w:tcBorders>
              <w:top w:val="nil"/>
              <w:left w:val="nil"/>
              <w:right w:val="nil"/>
            </w:tcBorders>
            <w:shd w:val="clear" w:color="auto" w:fill="auto"/>
            <w:noWrap/>
            <w:vAlign w:val="bottom"/>
            <w:hideMark/>
          </w:tcPr>
          <w:p w14:paraId="5BFB7884"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2,97</w:t>
            </w:r>
          </w:p>
        </w:tc>
      </w:tr>
      <w:tr w:rsidR="00743989" w:rsidRPr="00445E18" w14:paraId="4381A02B" w14:textId="77777777" w:rsidTr="00ED6611">
        <w:trPr>
          <w:trHeight w:val="315"/>
        </w:trPr>
        <w:tc>
          <w:tcPr>
            <w:tcW w:w="1840" w:type="dxa"/>
            <w:tcBorders>
              <w:top w:val="nil"/>
              <w:left w:val="nil"/>
              <w:bottom w:val="single" w:sz="4" w:space="0" w:color="auto"/>
              <w:right w:val="single" w:sz="4" w:space="0" w:color="auto"/>
            </w:tcBorders>
            <w:shd w:val="clear" w:color="auto" w:fill="auto"/>
            <w:noWrap/>
            <w:vAlign w:val="center"/>
            <w:hideMark/>
          </w:tcPr>
          <w:p w14:paraId="38AC931F" w14:textId="77777777" w:rsidR="00743989" w:rsidRPr="00445E18" w:rsidRDefault="00743989" w:rsidP="003C3441">
            <w:pPr>
              <w:spacing w:after="0" w:line="240" w:lineRule="auto"/>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Aluguéis e outras</w:t>
            </w:r>
          </w:p>
        </w:tc>
        <w:tc>
          <w:tcPr>
            <w:tcW w:w="960" w:type="dxa"/>
            <w:tcBorders>
              <w:top w:val="nil"/>
              <w:left w:val="nil"/>
              <w:bottom w:val="single" w:sz="4" w:space="0" w:color="auto"/>
              <w:right w:val="nil"/>
            </w:tcBorders>
            <w:shd w:val="clear" w:color="auto" w:fill="auto"/>
            <w:noWrap/>
            <w:vAlign w:val="center"/>
            <w:hideMark/>
          </w:tcPr>
          <w:p w14:paraId="4F94E5C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0,001</w:t>
            </w:r>
          </w:p>
        </w:tc>
        <w:tc>
          <w:tcPr>
            <w:tcW w:w="960" w:type="dxa"/>
            <w:tcBorders>
              <w:top w:val="nil"/>
              <w:left w:val="nil"/>
              <w:bottom w:val="single" w:sz="4" w:space="0" w:color="auto"/>
              <w:right w:val="single" w:sz="4" w:space="0" w:color="auto"/>
            </w:tcBorders>
            <w:shd w:val="clear" w:color="auto" w:fill="auto"/>
            <w:noWrap/>
            <w:vAlign w:val="center"/>
            <w:hideMark/>
          </w:tcPr>
          <w:p w14:paraId="1E40C5A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0,003</w:t>
            </w:r>
          </w:p>
        </w:tc>
        <w:tc>
          <w:tcPr>
            <w:tcW w:w="1925" w:type="dxa"/>
            <w:tcBorders>
              <w:top w:val="nil"/>
              <w:left w:val="nil"/>
              <w:bottom w:val="single" w:sz="4" w:space="0" w:color="auto"/>
              <w:right w:val="nil"/>
            </w:tcBorders>
            <w:shd w:val="clear" w:color="auto" w:fill="auto"/>
            <w:noWrap/>
            <w:vAlign w:val="center"/>
            <w:hideMark/>
          </w:tcPr>
          <w:p w14:paraId="35EAC1BA"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0,002</w:t>
            </w:r>
          </w:p>
        </w:tc>
        <w:tc>
          <w:tcPr>
            <w:tcW w:w="925" w:type="dxa"/>
            <w:tcBorders>
              <w:top w:val="nil"/>
              <w:left w:val="single" w:sz="4" w:space="0" w:color="auto"/>
              <w:bottom w:val="single" w:sz="4" w:space="0" w:color="auto"/>
              <w:right w:val="nil"/>
            </w:tcBorders>
            <w:shd w:val="clear" w:color="auto" w:fill="auto"/>
            <w:noWrap/>
            <w:vAlign w:val="bottom"/>
            <w:hideMark/>
          </w:tcPr>
          <w:p w14:paraId="0A16C94D"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85,31</w:t>
            </w:r>
          </w:p>
        </w:tc>
        <w:tc>
          <w:tcPr>
            <w:tcW w:w="924" w:type="dxa"/>
            <w:tcBorders>
              <w:top w:val="nil"/>
              <w:left w:val="nil"/>
              <w:bottom w:val="single" w:sz="4" w:space="0" w:color="auto"/>
              <w:right w:val="nil"/>
            </w:tcBorders>
            <w:shd w:val="clear" w:color="auto" w:fill="auto"/>
            <w:noWrap/>
            <w:vAlign w:val="bottom"/>
            <w:hideMark/>
          </w:tcPr>
          <w:p w14:paraId="2735427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85,75</w:t>
            </w:r>
          </w:p>
        </w:tc>
        <w:tc>
          <w:tcPr>
            <w:tcW w:w="1031" w:type="dxa"/>
            <w:tcBorders>
              <w:top w:val="nil"/>
              <w:left w:val="nil"/>
              <w:bottom w:val="single" w:sz="4" w:space="0" w:color="auto"/>
              <w:right w:val="nil"/>
            </w:tcBorders>
            <w:shd w:val="clear" w:color="auto" w:fill="auto"/>
            <w:noWrap/>
            <w:vAlign w:val="bottom"/>
            <w:hideMark/>
          </w:tcPr>
          <w:p w14:paraId="41430773" w14:textId="77777777" w:rsidR="00743989" w:rsidRPr="00445E18" w:rsidRDefault="00743989" w:rsidP="003C3441">
            <w:pPr>
              <w:spacing w:after="0" w:line="240" w:lineRule="auto"/>
              <w:jc w:val="center"/>
              <w:rPr>
                <w:rFonts w:ascii="Arial" w:eastAsia="Times New Roman" w:hAnsi="Arial" w:cs="Arial"/>
                <w:color w:val="000000" w:themeColor="text1"/>
                <w:sz w:val="18"/>
                <w:szCs w:val="18"/>
                <w:lang w:eastAsia="pt-BR"/>
              </w:rPr>
            </w:pPr>
            <w:r w:rsidRPr="00445E18">
              <w:rPr>
                <w:rFonts w:ascii="Arial" w:eastAsia="Times New Roman" w:hAnsi="Arial" w:cs="Arial"/>
                <w:color w:val="000000" w:themeColor="text1"/>
                <w:sz w:val="18"/>
                <w:szCs w:val="18"/>
                <w:lang w:eastAsia="pt-BR"/>
              </w:rPr>
              <w:t>-71,06</w:t>
            </w:r>
          </w:p>
        </w:tc>
      </w:tr>
    </w:tbl>
    <w:p w14:paraId="5EEA5FD8"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0"/>
          <w:szCs w:val="20"/>
        </w:rPr>
        <w:t>Fonte</w:t>
      </w:r>
      <w:r w:rsidRPr="00445E18">
        <w:rPr>
          <w:rFonts w:ascii="Times New Roman" w:hAnsi="Times New Roman" w:cs="Times New Roman"/>
          <w:b/>
          <w:color w:val="000000" w:themeColor="text1"/>
          <w:sz w:val="20"/>
          <w:szCs w:val="20"/>
        </w:rPr>
        <w:t xml:space="preserve">: </w:t>
      </w:r>
      <w:r w:rsidRPr="00445E18">
        <w:rPr>
          <w:rFonts w:ascii="Times New Roman" w:hAnsi="Times New Roman" w:cs="Times New Roman"/>
          <w:color w:val="000000" w:themeColor="text1"/>
          <w:sz w:val="20"/>
          <w:szCs w:val="20"/>
        </w:rPr>
        <w:t>elaboração própria com base nos microdados da PNAD/IBGE</w:t>
      </w:r>
    </w:p>
    <w:p w14:paraId="606BD395" w14:textId="77777777" w:rsidR="00743989" w:rsidRPr="00445E18" w:rsidRDefault="00743989" w:rsidP="003C3441">
      <w:pPr>
        <w:spacing w:after="0" w:line="360" w:lineRule="auto"/>
        <w:jc w:val="both"/>
        <w:rPr>
          <w:rFonts w:ascii="Times New Roman" w:hAnsi="Times New Roman" w:cs="Times New Roman"/>
          <w:b/>
          <w:color w:val="000000" w:themeColor="text1"/>
          <w:sz w:val="24"/>
          <w:szCs w:val="24"/>
        </w:rPr>
      </w:pPr>
    </w:p>
    <w:p w14:paraId="23A0ED79" w14:textId="77777777" w:rsidR="00743989" w:rsidRPr="00445E18" w:rsidRDefault="00743989" w:rsidP="003C3441">
      <w:pPr>
        <w:spacing w:after="0" w:line="360" w:lineRule="auto"/>
        <w:jc w:val="both"/>
        <w:rPr>
          <w:rFonts w:ascii="Times New Roman" w:hAnsi="Times New Roman" w:cs="Times New Roman"/>
          <w:b/>
          <w:color w:val="000000" w:themeColor="text1"/>
          <w:sz w:val="24"/>
          <w:szCs w:val="24"/>
        </w:rPr>
      </w:pPr>
      <w:r w:rsidRPr="00445E18">
        <w:rPr>
          <w:rFonts w:ascii="Times New Roman" w:hAnsi="Times New Roman" w:cs="Times New Roman"/>
          <w:b/>
          <w:color w:val="000000" w:themeColor="text1"/>
          <w:sz w:val="24"/>
          <w:szCs w:val="24"/>
        </w:rPr>
        <w:lastRenderedPageBreak/>
        <w:t xml:space="preserve">7. Conclusão </w:t>
      </w:r>
    </w:p>
    <w:p w14:paraId="6FC2F579"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25501DD7" w14:textId="3B27A96C"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 baixo nível de escolaridade da população e o alto nível de desigualdade de renda pessoal e regional são problemas persistentes no Brasil. No entanto, como mostraram diferentes pesquisadores, na última década, o Brasil apresentou uma redução consistente não só na desigualdade de renda pessoal, como também na desigualdade de renda regional. Há dois movimentos diretamente associados a estas reduções de desigualdade (pessoal e regional), ambos associados a políticas públicas como foco nos indivíduos e não no território ou regiões: a elevação da escolaridade em todas as regiões do país e a introdução e expansão das políticas sociais de transferência de renda. Neste contexto, o objetivo deste trabalho foi analisar a evolução da disparidade regional de renda </w:t>
      </w:r>
      <w:r w:rsidRPr="00445E18">
        <w:rPr>
          <w:rFonts w:ascii="Times New Roman" w:hAnsi="Times New Roman" w:cs="Times New Roman"/>
          <w:i/>
          <w:color w:val="000000" w:themeColor="text1"/>
          <w:sz w:val="24"/>
          <w:szCs w:val="24"/>
        </w:rPr>
        <w:t>per capita</w:t>
      </w:r>
      <w:r w:rsidRPr="00445E18">
        <w:rPr>
          <w:rFonts w:ascii="Times New Roman" w:hAnsi="Times New Roman" w:cs="Times New Roman"/>
          <w:color w:val="000000" w:themeColor="text1"/>
          <w:sz w:val="24"/>
          <w:szCs w:val="24"/>
        </w:rPr>
        <w:t xml:space="preserve"> no Brasil, calculada pelo índice de Gini, verificando especificamente qual a contribuição de cinco fontes de renda do trabalho associadas a diferentes níveis de escolaridade</w:t>
      </w:r>
      <w:r w:rsidR="00935FAA" w:rsidRPr="00445E18">
        <w:rPr>
          <w:rFonts w:ascii="Times New Roman"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sobre a evolução da desigualdade regional de renda per capita no Brasil entre os anos de 1995 e 2011</w:t>
      </w:r>
      <w:r w:rsidR="00935FAA" w:rsidRPr="00445E18">
        <w:rPr>
          <w:rFonts w:ascii="Times New Roman" w:hAnsi="Times New Roman" w:cs="Times New Roman"/>
          <w:color w:val="000000" w:themeColor="text1"/>
          <w:sz w:val="24"/>
          <w:szCs w:val="24"/>
        </w:rPr>
        <w:t xml:space="preserve"> e sua importância relativa em relação às demais fontes de renda.</w:t>
      </w:r>
    </w:p>
    <w:p w14:paraId="0D9596C0" w14:textId="6816846E"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Neste sentido, pri</w:t>
      </w:r>
      <w:r w:rsidR="00935FAA" w:rsidRPr="00445E18">
        <w:rPr>
          <w:rFonts w:ascii="Times New Roman" w:hAnsi="Times New Roman" w:cs="Times New Roman"/>
          <w:color w:val="000000" w:themeColor="text1"/>
          <w:sz w:val="24"/>
          <w:szCs w:val="24"/>
        </w:rPr>
        <w:t xml:space="preserve">meiramente, o trabalho mostrou </w:t>
      </w:r>
      <w:r w:rsidRPr="00445E18">
        <w:rPr>
          <w:rFonts w:ascii="Times New Roman" w:hAnsi="Times New Roman" w:cs="Times New Roman"/>
          <w:color w:val="000000" w:themeColor="text1"/>
          <w:sz w:val="24"/>
          <w:szCs w:val="24"/>
        </w:rPr>
        <w:t>que, em relação à distribuição da renda total, por um lado, as fontes de renda do trabalho associadas a indivíduos com maiores níveis de escolaridade (no mínimo com ensino médio) encontravam-se em 2011 mais concentradas nas unidades federativas mais ricas e, por outro, que as fontes de renda do trabalho de indivíduos com menos escolaridade e as fontes associadas aos programas de transferência de renda (sobretudo) se apresentavam, no mesmo ano, mais favoráveis às unidades federativas mais pobres do país.</w:t>
      </w:r>
    </w:p>
    <w:p w14:paraId="3EC50ED4"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A partir do cálculo das contribuições das diferentes fontes de renda para a desigualdade, os principais resultados deste estudo indicam que a renda do trabalho explica a maior parte da desigualdade regional, calculada pelo índice de Gini, bem como grande parte do movimento da recente de queda no índice de Gini regional nos últimos anos. Enquanto em 1995 o conjunto das fontes de renda relacionadas ao trabalho era responsável por cerca de 87% da desigualdade regional medida pelo  índice de Gini, em 2011 tal responsabilidade era 84%, um reflexo do crescimento da importância de outras fontes de renda, mas um valor que ainda torna clara a importância desta fonte de renda para o entendimento das disparidades regionais no país.</w:t>
      </w:r>
    </w:p>
    <w:p w14:paraId="28D6B502" w14:textId="2FC6653A" w:rsidR="00743989" w:rsidRPr="00445E18" w:rsidRDefault="00935FAA"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lastRenderedPageBreak/>
        <w:t>Não menos importante</w:t>
      </w:r>
      <w:r w:rsidR="00743989" w:rsidRPr="00445E18">
        <w:rPr>
          <w:rFonts w:ascii="Times New Roman" w:hAnsi="Times New Roman" w:cs="Times New Roman"/>
          <w:color w:val="000000" w:themeColor="text1"/>
          <w:sz w:val="24"/>
          <w:szCs w:val="24"/>
        </w:rPr>
        <w:t>, os resultados obtidos indicam que, em 2011, cerca de 65% da desigualdade regional de renda entre os estados brasileiros decorria dos níveis (elevados) de concentração da renda dos indivíduos que possuíam, no mínimo, o ensino médio completo, um percentual superior àquele observado em 1995 (em torno de 53%), o que decorria de uma distribuição de renda fortemente pró estado rico das fontes renda associadas a maior escolaridade. Entre as demais fontes de renda, o maior destaque na explicação da desigualdade regional diz respeito à distribuição das rendas das Aposentadorias e Pensões, que em 2011 contribuía com cerca de 16% da desigualdade regional brasileira. Ou seja, nos anos mais recentes, a maior parte da desigualdade regional brasileira decorre da distribuição regional bastante desigual da renda do trabalho d</w:t>
      </w:r>
      <w:r w:rsidRPr="00445E18">
        <w:rPr>
          <w:rFonts w:ascii="Times New Roman" w:hAnsi="Times New Roman" w:cs="Times New Roman"/>
          <w:color w:val="000000" w:themeColor="text1"/>
          <w:sz w:val="24"/>
          <w:szCs w:val="24"/>
        </w:rPr>
        <w:t>os indivíduos mais</w:t>
      </w:r>
      <w:r w:rsidR="008F39EE">
        <w:rPr>
          <w:rFonts w:ascii="Times New Roman" w:hAnsi="Times New Roman" w:cs="Times New Roman"/>
          <w:color w:val="000000" w:themeColor="text1"/>
          <w:sz w:val="24"/>
          <w:szCs w:val="24"/>
        </w:rPr>
        <w:t xml:space="preserve"> escolarizados</w:t>
      </w:r>
      <w:r w:rsidRPr="00445E18">
        <w:rPr>
          <w:rFonts w:ascii="Times New Roman" w:hAnsi="Times New Roman" w:cs="Times New Roman"/>
          <w:color w:val="000000" w:themeColor="text1"/>
          <w:sz w:val="24"/>
          <w:szCs w:val="24"/>
        </w:rPr>
        <w:t>, principalmente daqueles com ensino superior</w:t>
      </w:r>
      <w:r w:rsidR="00743989" w:rsidRPr="00445E18">
        <w:rPr>
          <w:rFonts w:ascii="Times New Roman" w:hAnsi="Times New Roman" w:cs="Times New Roman"/>
          <w:color w:val="000000" w:themeColor="text1"/>
          <w:sz w:val="24"/>
          <w:szCs w:val="24"/>
        </w:rPr>
        <w:t xml:space="preserve">. </w:t>
      </w:r>
    </w:p>
    <w:p w14:paraId="4FEAC6F9" w14:textId="670D2E00"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No que tange à evolução da desigualdade regional entre 1995 e 2011, as evidências obtidas indicam que as dinâmicas das rendas do trabalho de indivíduos com níveis intermediários de escolaridade (com fundamental completo até o ensino médio completo e superior incompleto) e das rendas dos programas sociais de transferência de renda (Bolsa Família e Benefício de Prestação Continuada) foram as responsáveis pela redução do índice de Gini da distribuição regional de renda no período no Brasil. Especificamente,</w:t>
      </w:r>
      <w:r w:rsidR="00935FAA" w:rsidRPr="00445E18">
        <w:rPr>
          <w:rFonts w:ascii="Times New Roman"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em seu conjunto, as rendas do trabalho foram responsáveis por, aproximadamente, 47% da variação do índice de Gini regional entre os anos de 1995 e 2011. Um movimento que, seguramente, está associado à expansão da educação nos estados mais pobres do Brasil. É importante salientar, contudo, que, no mesmo período, a dinâmica de renda dos indivíduos mais escolarizados (ensino s</w:t>
      </w:r>
      <w:r w:rsidR="00935FAA" w:rsidRPr="00445E18">
        <w:rPr>
          <w:rFonts w:ascii="Times New Roman" w:hAnsi="Times New Roman" w:cs="Times New Roman"/>
          <w:color w:val="000000" w:themeColor="text1"/>
          <w:sz w:val="24"/>
          <w:szCs w:val="24"/>
        </w:rPr>
        <w:t>uperior) não só</w:t>
      </w:r>
      <w:r w:rsidRPr="00445E18">
        <w:rPr>
          <w:rFonts w:ascii="Times New Roman" w:hAnsi="Times New Roman" w:cs="Times New Roman"/>
          <w:color w:val="000000" w:themeColor="text1"/>
          <w:sz w:val="24"/>
          <w:szCs w:val="24"/>
        </w:rPr>
        <w:t xml:space="preserve"> ganha importância </w:t>
      </w:r>
      <w:r w:rsidR="00935FAA" w:rsidRPr="00445E18">
        <w:rPr>
          <w:rFonts w:ascii="Times New Roman" w:hAnsi="Times New Roman" w:cs="Times New Roman"/>
          <w:color w:val="000000" w:themeColor="text1"/>
          <w:sz w:val="24"/>
          <w:szCs w:val="24"/>
        </w:rPr>
        <w:t xml:space="preserve">ao longo do tempo </w:t>
      </w:r>
      <w:r w:rsidRPr="00445E18">
        <w:rPr>
          <w:rFonts w:ascii="Times New Roman" w:hAnsi="Times New Roman" w:cs="Times New Roman"/>
          <w:color w:val="000000" w:themeColor="text1"/>
          <w:sz w:val="24"/>
          <w:szCs w:val="24"/>
        </w:rPr>
        <w:t xml:space="preserve">na renda total dos estados, </w:t>
      </w:r>
      <w:r w:rsidR="00935FAA" w:rsidRPr="00445E18">
        <w:rPr>
          <w:rFonts w:ascii="Times New Roman" w:hAnsi="Times New Roman" w:cs="Times New Roman"/>
          <w:color w:val="000000" w:themeColor="text1"/>
          <w:sz w:val="24"/>
          <w:szCs w:val="24"/>
        </w:rPr>
        <w:t xml:space="preserve">como </w:t>
      </w:r>
      <w:r w:rsidRPr="00445E18">
        <w:rPr>
          <w:rFonts w:ascii="Times New Roman" w:hAnsi="Times New Roman" w:cs="Times New Roman"/>
          <w:color w:val="000000" w:themeColor="text1"/>
          <w:sz w:val="24"/>
          <w:szCs w:val="24"/>
        </w:rPr>
        <w:t>apresentou dinâmica no sentido de significativa maior concentração regional de renda entre as unidades federativas do país: na verdade, a redução do índice de Gini observada poderia ter sido quase 83% maior caso tal fonte de renda não apresentasse tal evolução em favor das unidades mais ricas.</w:t>
      </w:r>
    </w:p>
    <w:p w14:paraId="7CE00F9A" w14:textId="50119E66" w:rsidR="00743989" w:rsidRPr="00445E18" w:rsidRDefault="00935FAA" w:rsidP="003C3441">
      <w:pPr>
        <w:spacing w:after="0" w:line="360" w:lineRule="auto"/>
        <w:ind w:firstLine="709"/>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A importância do movimento da renda do trabalho associado ao nível de escolaridade mais elevado (ensino superior) para a configuração da distribuição regional de renda apresenta-se</w:t>
      </w:r>
      <w:r w:rsidR="00B02FDF" w:rsidRPr="00445E18">
        <w:rPr>
          <w:rFonts w:ascii="Times New Roman" w:hAnsi="Times New Roman" w:cs="Times New Roman"/>
          <w:color w:val="000000" w:themeColor="text1"/>
          <w:sz w:val="24"/>
          <w:szCs w:val="24"/>
        </w:rPr>
        <w:t>, aliás,</w:t>
      </w:r>
      <w:r w:rsidRPr="00445E18">
        <w:rPr>
          <w:rFonts w:ascii="Times New Roman" w:hAnsi="Times New Roman" w:cs="Times New Roman"/>
          <w:color w:val="000000" w:themeColor="text1"/>
          <w:sz w:val="24"/>
          <w:szCs w:val="24"/>
        </w:rPr>
        <w:t xml:space="preserve"> mais significativo </w:t>
      </w:r>
      <w:r w:rsidR="00B02FDF" w:rsidRPr="00445E18">
        <w:rPr>
          <w:rFonts w:ascii="Times New Roman" w:hAnsi="Times New Roman" w:cs="Times New Roman"/>
          <w:color w:val="000000" w:themeColor="text1"/>
          <w:sz w:val="24"/>
          <w:szCs w:val="24"/>
        </w:rPr>
        <w:t xml:space="preserve">que aqueles das fontes de renda dos programas sociais (Bolsa Família e Benefício de Prestação Continuada), que, </w:t>
      </w:r>
      <w:r w:rsidR="00B02FDF" w:rsidRPr="00445E18">
        <w:rPr>
          <w:rFonts w:ascii="Times New Roman" w:hAnsi="Times New Roman" w:cs="Times New Roman"/>
          <w:color w:val="000000" w:themeColor="text1"/>
          <w:sz w:val="24"/>
          <w:szCs w:val="24"/>
        </w:rPr>
        <w:lastRenderedPageBreak/>
        <w:t>confirmando res</w:t>
      </w:r>
      <w:r w:rsidR="00311311">
        <w:rPr>
          <w:rFonts w:ascii="Times New Roman" w:hAnsi="Times New Roman" w:cs="Times New Roman"/>
          <w:color w:val="000000" w:themeColor="text1"/>
          <w:sz w:val="24"/>
          <w:szCs w:val="24"/>
        </w:rPr>
        <w:t>ultado já obtido por Silveira N</w:t>
      </w:r>
      <w:r w:rsidR="00B02FDF" w:rsidRPr="00445E18">
        <w:rPr>
          <w:rFonts w:ascii="Times New Roman" w:hAnsi="Times New Roman" w:cs="Times New Roman"/>
          <w:color w:val="000000" w:themeColor="text1"/>
          <w:sz w:val="24"/>
          <w:szCs w:val="24"/>
        </w:rPr>
        <w:t>eto e Azzoni (2012) explicam parte não desprezível da redução da desigualdade regional de renda no Brasil entre 1995 e 2011.</w:t>
      </w:r>
    </w:p>
    <w:p w14:paraId="3AC37C49" w14:textId="583BFA5B" w:rsidR="00743989" w:rsidRPr="00CD3623" w:rsidRDefault="00743989" w:rsidP="003C3441">
      <w:pPr>
        <w:spacing w:after="0" w:line="360" w:lineRule="auto"/>
        <w:ind w:firstLine="709"/>
        <w:jc w:val="both"/>
        <w:rPr>
          <w:rFonts w:ascii="Times New Roman" w:hAnsi="Times New Roman" w:cs="Times New Roman"/>
          <w:color w:val="008000"/>
          <w:sz w:val="24"/>
          <w:szCs w:val="24"/>
        </w:rPr>
      </w:pPr>
      <w:r w:rsidRPr="005D7F30">
        <w:rPr>
          <w:rFonts w:ascii="Times New Roman" w:hAnsi="Times New Roman" w:cs="Times New Roman"/>
          <w:color w:val="000000" w:themeColor="text1"/>
          <w:sz w:val="24"/>
          <w:szCs w:val="24"/>
        </w:rPr>
        <w:t xml:space="preserve"> </w:t>
      </w:r>
      <w:r w:rsidR="005D7F30" w:rsidRPr="005D7F30">
        <w:rPr>
          <w:rFonts w:ascii="Times New Roman" w:hAnsi="Times New Roman" w:cs="Times New Roman"/>
          <w:sz w:val="24"/>
          <w:szCs w:val="24"/>
        </w:rPr>
        <w:t>Ainda que</w:t>
      </w:r>
      <w:r w:rsidR="005D7F30" w:rsidRPr="005D7F30">
        <w:rPr>
          <w:rFonts w:ascii="Times New Roman" w:hAnsi="Times New Roman" w:cs="Times New Roman"/>
          <w:sz w:val="24"/>
          <w:szCs w:val="24"/>
        </w:rPr>
        <w:t xml:space="preserve"> </w:t>
      </w:r>
      <w:r w:rsidR="005D7F30" w:rsidRPr="005D7F30">
        <w:rPr>
          <w:rFonts w:ascii="Times New Roman" w:hAnsi="Times New Roman" w:cs="Times New Roman"/>
          <w:sz w:val="24"/>
          <w:szCs w:val="24"/>
        </w:rPr>
        <w:t>a me</w:t>
      </w:r>
      <w:r w:rsidR="005D7F30" w:rsidRPr="005D7F30">
        <w:rPr>
          <w:rFonts w:ascii="Times New Roman" w:hAnsi="Times New Roman" w:cs="Times New Roman"/>
          <w:sz w:val="24"/>
          <w:szCs w:val="24"/>
        </w:rPr>
        <w:t>todo</w:t>
      </w:r>
      <w:r w:rsidR="005D7F30" w:rsidRPr="005D7F30">
        <w:rPr>
          <w:rFonts w:ascii="Times New Roman" w:hAnsi="Times New Roman" w:cs="Times New Roman"/>
          <w:sz w:val="24"/>
          <w:szCs w:val="24"/>
        </w:rPr>
        <w:t>logia utilizada</w:t>
      </w:r>
      <w:r w:rsidR="005D7F30" w:rsidRPr="005D7F30">
        <w:rPr>
          <w:rFonts w:ascii="Times New Roman" w:hAnsi="Times New Roman" w:cs="Times New Roman"/>
          <w:sz w:val="24"/>
          <w:szCs w:val="24"/>
        </w:rPr>
        <w:t xml:space="preserve"> </w:t>
      </w:r>
      <w:r w:rsidR="005D7F30" w:rsidRPr="005D7F30">
        <w:rPr>
          <w:rFonts w:ascii="Times New Roman" w:hAnsi="Times New Roman" w:cs="Times New Roman"/>
          <w:sz w:val="24"/>
          <w:szCs w:val="24"/>
        </w:rPr>
        <w:t xml:space="preserve">não permita estabelecer rigorosamente </w:t>
      </w:r>
      <w:r w:rsidR="005D7F30" w:rsidRPr="005D7F30">
        <w:rPr>
          <w:rFonts w:ascii="Times New Roman" w:hAnsi="Times New Roman" w:cs="Times New Roman"/>
          <w:sz w:val="24"/>
          <w:szCs w:val="24"/>
        </w:rPr>
        <w:t>relações causais entre as</w:t>
      </w:r>
      <w:r w:rsidR="005D7F30" w:rsidRPr="005D7F30">
        <w:rPr>
          <w:rFonts w:ascii="Times New Roman" w:hAnsi="Times New Roman" w:cs="Times New Roman"/>
          <w:sz w:val="24"/>
          <w:szCs w:val="24"/>
        </w:rPr>
        <w:t xml:space="preserve"> diferentes fontes de renda e a dinâmica de desigualdade regional,</w:t>
      </w:r>
      <w:r w:rsidR="005D7F30">
        <w:rPr>
          <w:rFonts w:ascii="Times New Roman" w:hAnsi="Times New Roman" w:cs="Times New Roman"/>
          <w:color w:val="0070C0"/>
          <w:sz w:val="24"/>
          <w:szCs w:val="24"/>
        </w:rPr>
        <w:t xml:space="preserve"> d</w:t>
      </w:r>
      <w:r w:rsidRPr="00445E18">
        <w:rPr>
          <w:rFonts w:ascii="Times New Roman" w:hAnsi="Times New Roman" w:cs="Times New Roman"/>
          <w:color w:val="000000" w:themeColor="text1"/>
          <w:sz w:val="24"/>
          <w:szCs w:val="24"/>
        </w:rPr>
        <w:t>o conjunto de evidências apresentadas neste trabalho, há, ao menos, dois resultados úteis para a política pública</w:t>
      </w:r>
      <w:r w:rsidR="00B02FDF" w:rsidRPr="00445E18">
        <w:rPr>
          <w:rFonts w:ascii="Times New Roman" w:hAnsi="Times New Roman" w:cs="Times New Roman"/>
          <w:color w:val="000000" w:themeColor="text1"/>
          <w:sz w:val="24"/>
          <w:szCs w:val="24"/>
        </w:rPr>
        <w:t xml:space="preserve"> que tenha como</w:t>
      </w:r>
      <w:r w:rsidRPr="00445E18">
        <w:rPr>
          <w:rFonts w:ascii="Times New Roman" w:hAnsi="Times New Roman" w:cs="Times New Roman"/>
          <w:color w:val="000000" w:themeColor="text1"/>
          <w:sz w:val="24"/>
          <w:szCs w:val="24"/>
        </w:rPr>
        <w:t xml:space="preserve"> objetivo de redução das disparidades regionais</w:t>
      </w:r>
      <w:r w:rsidR="005D7F30">
        <w:rPr>
          <w:rStyle w:val="FootnoteReference"/>
          <w:rFonts w:ascii="Times New Roman"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Primeiro, é importante ter em conta que a redução das disparidades regionais de renda no Brasil é crescentemente dependente da equalização dos níveis de escolaridade dos indivíduos entre suas unidades federativas</w:t>
      </w:r>
      <w:r w:rsidR="00B02FDF" w:rsidRPr="00445E18">
        <w:rPr>
          <w:rFonts w:ascii="Times New Roman" w:hAnsi="Times New Roman" w:cs="Times New Roman"/>
          <w:color w:val="000000" w:themeColor="text1"/>
          <w:sz w:val="24"/>
          <w:szCs w:val="24"/>
        </w:rPr>
        <w:t xml:space="preserve"> </w:t>
      </w:r>
      <w:r w:rsidRPr="00445E18">
        <w:rPr>
          <w:rFonts w:ascii="Times New Roman" w:hAnsi="Times New Roman" w:cs="Times New Roman"/>
          <w:color w:val="000000" w:themeColor="text1"/>
          <w:sz w:val="24"/>
          <w:szCs w:val="24"/>
        </w:rPr>
        <w:t>em níveis superiores de escolaridade. Isto parece ainda mais importante quando se considera que o crescimento da renda dos estados mais pobres observados nos últimos anos certamente traz uma elevação da demanda no setor de Serviços, setor trabalho intensivo</w:t>
      </w:r>
      <w:r w:rsidR="00311311">
        <w:rPr>
          <w:rFonts w:ascii="Times New Roman" w:hAnsi="Times New Roman" w:cs="Times New Roman"/>
          <w:color w:val="000000" w:themeColor="text1"/>
          <w:sz w:val="24"/>
          <w:szCs w:val="24"/>
        </w:rPr>
        <w:t>, e sobre qual deve recair a maior responsabilidade sobre as disparidades regionais brasileiras</w:t>
      </w:r>
      <w:r w:rsidRPr="00445E18">
        <w:rPr>
          <w:rFonts w:ascii="Times New Roman" w:hAnsi="Times New Roman" w:cs="Times New Roman"/>
          <w:color w:val="000000" w:themeColor="text1"/>
          <w:sz w:val="24"/>
          <w:szCs w:val="24"/>
        </w:rPr>
        <w:t xml:space="preserve">. </w:t>
      </w:r>
      <w:r w:rsidRPr="00853881">
        <w:rPr>
          <w:rFonts w:ascii="Times New Roman" w:hAnsi="Times New Roman" w:cs="Times New Roman"/>
          <w:sz w:val="24"/>
          <w:szCs w:val="24"/>
        </w:rPr>
        <w:t>Segundo</w:t>
      </w:r>
      <w:r w:rsidR="00CD3623" w:rsidRPr="00853881">
        <w:rPr>
          <w:rFonts w:ascii="Times New Roman" w:hAnsi="Times New Roman" w:cs="Times New Roman"/>
          <w:sz w:val="24"/>
          <w:szCs w:val="24"/>
        </w:rPr>
        <w:t xml:space="preserve"> e além disto</w:t>
      </w:r>
      <w:r w:rsidRPr="00853881">
        <w:rPr>
          <w:rFonts w:ascii="Times New Roman" w:hAnsi="Times New Roman" w:cs="Times New Roman"/>
          <w:sz w:val="24"/>
          <w:szCs w:val="24"/>
        </w:rPr>
        <w:t xml:space="preserve">, </w:t>
      </w:r>
      <w:r w:rsidR="00CD3623" w:rsidRPr="00853881">
        <w:rPr>
          <w:rFonts w:ascii="Times New Roman" w:hAnsi="Times New Roman" w:cs="Times New Roman"/>
          <w:sz w:val="24"/>
          <w:szCs w:val="24"/>
        </w:rPr>
        <w:t xml:space="preserve">embora </w:t>
      </w:r>
      <w:r w:rsidRPr="00853881">
        <w:rPr>
          <w:rFonts w:ascii="Times New Roman" w:hAnsi="Times New Roman" w:cs="Times New Roman"/>
          <w:sz w:val="24"/>
          <w:szCs w:val="24"/>
        </w:rPr>
        <w:t xml:space="preserve">a experiência recente do país com as políticas de transferência de renda </w:t>
      </w:r>
      <w:r w:rsidR="00CD3623" w:rsidRPr="00853881">
        <w:rPr>
          <w:rFonts w:ascii="Times New Roman" w:hAnsi="Times New Roman" w:cs="Times New Roman"/>
          <w:sz w:val="24"/>
          <w:szCs w:val="24"/>
        </w:rPr>
        <w:t>mostre a importância deste tipo de políticas</w:t>
      </w:r>
      <w:r w:rsidRPr="00853881">
        <w:rPr>
          <w:rFonts w:ascii="Times New Roman" w:hAnsi="Times New Roman" w:cs="Times New Roman"/>
          <w:sz w:val="24"/>
          <w:szCs w:val="24"/>
        </w:rPr>
        <w:t xml:space="preserve"> com foco nos indivíduos </w:t>
      </w:r>
      <w:r w:rsidR="00CD3623" w:rsidRPr="00853881">
        <w:rPr>
          <w:rFonts w:ascii="Times New Roman" w:hAnsi="Times New Roman" w:cs="Times New Roman"/>
          <w:sz w:val="24"/>
          <w:szCs w:val="24"/>
        </w:rPr>
        <w:t xml:space="preserve">para as disparidade regionais de renda (Silveira Neto e Azzoni, 2012), </w:t>
      </w:r>
      <w:r w:rsidRPr="00853881">
        <w:rPr>
          <w:rFonts w:ascii="Times New Roman" w:hAnsi="Times New Roman" w:cs="Times New Roman"/>
          <w:sz w:val="24"/>
          <w:szCs w:val="24"/>
        </w:rPr>
        <w:t xml:space="preserve"> </w:t>
      </w:r>
      <w:r w:rsidR="00CD3623" w:rsidRPr="00853881">
        <w:rPr>
          <w:rFonts w:ascii="Times New Roman" w:hAnsi="Times New Roman" w:cs="Times New Roman"/>
          <w:sz w:val="24"/>
          <w:szCs w:val="24"/>
        </w:rPr>
        <w:t xml:space="preserve">as evidências obtidas neste trabalho indicam que as disparidades regionais brasileiras são bem mais sensíveis </w:t>
      </w:r>
      <w:r w:rsidR="00E9749D" w:rsidRPr="00853881">
        <w:rPr>
          <w:rFonts w:ascii="Times New Roman" w:hAnsi="Times New Roman" w:cs="Times New Roman"/>
          <w:sz w:val="24"/>
          <w:szCs w:val="24"/>
        </w:rPr>
        <w:t xml:space="preserve">(absoluta e relativamente) </w:t>
      </w:r>
      <w:r w:rsidR="00CD3623" w:rsidRPr="00853881">
        <w:rPr>
          <w:rFonts w:ascii="Times New Roman" w:hAnsi="Times New Roman" w:cs="Times New Roman"/>
          <w:sz w:val="24"/>
          <w:szCs w:val="24"/>
        </w:rPr>
        <w:t>a movimentos na distribuição regional de renda associada aos níveis mais altos de escolaridade.</w:t>
      </w:r>
    </w:p>
    <w:p w14:paraId="7883C160" w14:textId="77777777" w:rsidR="00743989" w:rsidRPr="00445E18" w:rsidRDefault="00743989" w:rsidP="003C3441">
      <w:pPr>
        <w:spacing w:after="0" w:line="360" w:lineRule="auto"/>
        <w:jc w:val="both"/>
        <w:rPr>
          <w:rFonts w:ascii="Times New Roman" w:hAnsi="Times New Roman" w:cs="Times New Roman"/>
          <w:b/>
          <w:color w:val="000000" w:themeColor="text1"/>
          <w:sz w:val="24"/>
          <w:szCs w:val="24"/>
        </w:rPr>
      </w:pPr>
    </w:p>
    <w:p w14:paraId="719E7D4D" w14:textId="77777777" w:rsidR="00743989" w:rsidRPr="00445E18" w:rsidRDefault="00743989" w:rsidP="003C3441">
      <w:pPr>
        <w:spacing w:after="0" w:line="360" w:lineRule="auto"/>
        <w:jc w:val="both"/>
        <w:rPr>
          <w:rFonts w:ascii="Times New Roman" w:hAnsi="Times New Roman" w:cs="Times New Roman"/>
          <w:b/>
          <w:color w:val="000000" w:themeColor="text1"/>
          <w:sz w:val="24"/>
          <w:szCs w:val="24"/>
        </w:rPr>
      </w:pPr>
      <w:r w:rsidRPr="00445E18">
        <w:rPr>
          <w:rFonts w:ascii="Times New Roman" w:hAnsi="Times New Roman" w:cs="Times New Roman"/>
          <w:b/>
          <w:color w:val="000000" w:themeColor="text1"/>
          <w:sz w:val="24"/>
          <w:szCs w:val="24"/>
        </w:rPr>
        <w:t>Bibliografia</w:t>
      </w:r>
    </w:p>
    <w:p w14:paraId="6839F5DF" w14:textId="77777777" w:rsidR="00743989" w:rsidRPr="00445E18" w:rsidRDefault="00743989" w:rsidP="003C3441">
      <w:pPr>
        <w:spacing w:after="0" w:line="360" w:lineRule="auto"/>
        <w:ind w:firstLine="709"/>
        <w:jc w:val="both"/>
        <w:rPr>
          <w:rFonts w:ascii="Times New Roman" w:hAnsi="Times New Roman" w:cs="Times New Roman"/>
          <w:color w:val="000000" w:themeColor="text1"/>
          <w:sz w:val="24"/>
          <w:szCs w:val="24"/>
        </w:rPr>
      </w:pPr>
    </w:p>
    <w:p w14:paraId="129A5271"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Azzoni, C. R. Concentração regional e dispersão das rendas per capita estaduais: análise a partir de séries históric</w:t>
      </w:r>
      <w:bookmarkStart w:id="0" w:name="_GoBack"/>
      <w:bookmarkEnd w:id="0"/>
      <w:r w:rsidRPr="00445E18">
        <w:rPr>
          <w:rFonts w:ascii="Times New Roman" w:hAnsi="Times New Roman" w:cs="Times New Roman"/>
          <w:color w:val="000000" w:themeColor="text1"/>
          <w:sz w:val="24"/>
          <w:szCs w:val="24"/>
        </w:rPr>
        <w:t xml:space="preserve">as estaduais de Pib, 1939-1995. Estudos Econômicos. São Paulo, v.27, n. 3, p-341-393. Set-Dez, 1997. </w:t>
      </w:r>
    </w:p>
    <w:p w14:paraId="45597824"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1462D4AC"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Barros.R.; Carvalho. M.;Franco. S.; Mendonça, R. Uma análise das principais causas da queda recente na desigualdade de renda brasileira. Econômica, n8, 117–147. 2006.</w:t>
      </w:r>
    </w:p>
    <w:p w14:paraId="2E858AED"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542F61AA"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rPr>
        <w:t xml:space="preserve">Barros.R.; Carvalho. M.;Franco. S.; Mendonça, R. Determinantes da queda da desigualdade de Renda no Brasil. </w:t>
      </w:r>
      <w:proofErr w:type="spellStart"/>
      <w:r w:rsidRPr="00445E18">
        <w:rPr>
          <w:rFonts w:ascii="Times New Roman" w:hAnsi="Times New Roman" w:cs="Times New Roman"/>
          <w:color w:val="000000" w:themeColor="text1"/>
          <w:sz w:val="24"/>
          <w:szCs w:val="24"/>
          <w:lang w:val="en-US"/>
        </w:rPr>
        <w:t>Texto</w:t>
      </w:r>
      <w:proofErr w:type="spellEnd"/>
      <w:r w:rsidRPr="00445E18">
        <w:rPr>
          <w:rFonts w:ascii="Times New Roman" w:hAnsi="Times New Roman" w:cs="Times New Roman"/>
          <w:color w:val="000000" w:themeColor="text1"/>
          <w:sz w:val="24"/>
          <w:szCs w:val="24"/>
          <w:lang w:val="en-US"/>
        </w:rPr>
        <w:t xml:space="preserve"> para </w:t>
      </w:r>
      <w:proofErr w:type="spellStart"/>
      <w:r w:rsidRPr="00445E18">
        <w:rPr>
          <w:rFonts w:ascii="Times New Roman" w:hAnsi="Times New Roman" w:cs="Times New Roman"/>
          <w:color w:val="000000" w:themeColor="text1"/>
          <w:sz w:val="24"/>
          <w:szCs w:val="24"/>
          <w:lang w:val="en-US"/>
        </w:rPr>
        <w:t>discussão</w:t>
      </w:r>
      <w:proofErr w:type="spellEnd"/>
      <w:r w:rsidRPr="00445E18">
        <w:rPr>
          <w:rFonts w:ascii="Times New Roman" w:hAnsi="Times New Roman" w:cs="Times New Roman"/>
          <w:color w:val="000000" w:themeColor="text1"/>
          <w:sz w:val="24"/>
          <w:szCs w:val="24"/>
          <w:lang w:val="en-US"/>
        </w:rPr>
        <w:t xml:space="preserve">. </w:t>
      </w:r>
      <w:proofErr w:type="spellStart"/>
      <w:r w:rsidRPr="00445E18">
        <w:rPr>
          <w:rFonts w:ascii="Times New Roman" w:hAnsi="Times New Roman" w:cs="Times New Roman"/>
          <w:color w:val="000000" w:themeColor="text1"/>
          <w:sz w:val="24"/>
          <w:szCs w:val="24"/>
          <w:lang w:val="en-US"/>
        </w:rPr>
        <w:t>Ipea</w:t>
      </w:r>
      <w:proofErr w:type="spellEnd"/>
      <w:r w:rsidRPr="00445E18">
        <w:rPr>
          <w:rFonts w:ascii="Times New Roman" w:hAnsi="Times New Roman" w:cs="Times New Roman"/>
          <w:color w:val="000000" w:themeColor="text1"/>
          <w:sz w:val="24"/>
          <w:szCs w:val="24"/>
          <w:lang w:val="en-US"/>
        </w:rPr>
        <w:t>. 2010.</w:t>
      </w:r>
    </w:p>
    <w:p w14:paraId="536D2F82" w14:textId="77777777" w:rsidR="002870E5" w:rsidRPr="00445E18" w:rsidRDefault="002870E5" w:rsidP="003C3441">
      <w:pPr>
        <w:spacing w:after="0" w:line="360" w:lineRule="auto"/>
        <w:jc w:val="both"/>
        <w:rPr>
          <w:rFonts w:ascii="Times New Roman" w:hAnsi="Times New Roman" w:cs="Times New Roman"/>
          <w:color w:val="000000" w:themeColor="text1"/>
          <w:sz w:val="24"/>
          <w:szCs w:val="24"/>
          <w:lang w:val="en-US"/>
        </w:rPr>
      </w:pPr>
    </w:p>
    <w:p w14:paraId="29FF7D54" w14:textId="77777777" w:rsidR="002870E5" w:rsidRPr="00445E18" w:rsidRDefault="002870E5" w:rsidP="002870E5">
      <w:pPr>
        <w:widowControl w:val="0"/>
        <w:autoSpaceDE w:val="0"/>
        <w:autoSpaceDN w:val="0"/>
        <w:adjustRightInd w:val="0"/>
        <w:spacing w:after="0" w:line="240" w:lineRule="auto"/>
        <w:rPr>
          <w:rFonts w:ascii="Times New Roman" w:hAnsi="Times New Roman" w:cs="Times New Roman"/>
          <w:color w:val="000000" w:themeColor="text1"/>
          <w:sz w:val="26"/>
          <w:szCs w:val="26"/>
          <w:lang w:val="en-US"/>
        </w:rPr>
      </w:pPr>
      <w:proofErr w:type="spellStart"/>
      <w:r w:rsidRPr="00445E18">
        <w:rPr>
          <w:rFonts w:ascii="Times New Roman" w:hAnsi="Times New Roman" w:cs="Times New Roman"/>
          <w:color w:val="000000" w:themeColor="text1"/>
          <w:sz w:val="24"/>
          <w:szCs w:val="24"/>
          <w:lang w:val="en-US"/>
        </w:rPr>
        <w:t>Chantreuil</w:t>
      </w:r>
      <w:proofErr w:type="spellEnd"/>
      <w:r w:rsidRPr="00445E18">
        <w:rPr>
          <w:rFonts w:ascii="Times New Roman" w:hAnsi="Times New Roman" w:cs="Times New Roman"/>
          <w:color w:val="000000" w:themeColor="text1"/>
          <w:sz w:val="24"/>
          <w:szCs w:val="24"/>
          <w:lang w:val="en-US"/>
        </w:rPr>
        <w:t xml:space="preserve">, F.; </w:t>
      </w:r>
      <w:proofErr w:type="spellStart"/>
      <w:r w:rsidRPr="00445E18">
        <w:rPr>
          <w:rFonts w:ascii="Times New Roman" w:hAnsi="Times New Roman" w:cs="Times New Roman"/>
          <w:color w:val="000000" w:themeColor="text1"/>
          <w:sz w:val="24"/>
          <w:szCs w:val="24"/>
          <w:lang w:val="en-US"/>
        </w:rPr>
        <w:t>Trannoy</w:t>
      </w:r>
      <w:proofErr w:type="spellEnd"/>
      <w:r w:rsidRPr="00445E18">
        <w:rPr>
          <w:rFonts w:ascii="Times New Roman" w:hAnsi="Times New Roman" w:cs="Times New Roman"/>
          <w:color w:val="000000" w:themeColor="text1"/>
          <w:sz w:val="24"/>
          <w:szCs w:val="24"/>
          <w:lang w:val="en-US"/>
        </w:rPr>
        <w:t xml:space="preserve">, A. </w:t>
      </w:r>
      <w:r w:rsidRPr="00445E18">
        <w:rPr>
          <w:rFonts w:ascii="Times New Roman" w:hAnsi="Times New Roman" w:cs="Times New Roman"/>
          <w:color w:val="000000" w:themeColor="text1"/>
          <w:sz w:val="26"/>
          <w:szCs w:val="26"/>
          <w:lang w:val="en-US"/>
        </w:rPr>
        <w:t>Inequality decomposition values: the trade-off between</w:t>
      </w:r>
    </w:p>
    <w:p w14:paraId="7AE8D0A8" w14:textId="1FC36208" w:rsidR="002870E5" w:rsidRPr="00445E18" w:rsidRDefault="002870E5" w:rsidP="002870E5">
      <w:pPr>
        <w:spacing w:after="0" w:line="360" w:lineRule="auto"/>
        <w:jc w:val="both"/>
        <w:rPr>
          <w:rFonts w:ascii="Times New Roman" w:hAnsi="Times New Roman" w:cs="Times New Roman"/>
          <w:color w:val="000000" w:themeColor="text1"/>
          <w:sz w:val="24"/>
          <w:szCs w:val="24"/>
          <w:lang w:val="en-US"/>
        </w:rPr>
      </w:pPr>
      <w:proofErr w:type="gramStart"/>
      <w:r w:rsidRPr="00445E18">
        <w:rPr>
          <w:rFonts w:ascii="Times New Roman" w:hAnsi="Times New Roman" w:cs="Times New Roman"/>
          <w:color w:val="000000" w:themeColor="text1"/>
          <w:sz w:val="26"/>
          <w:szCs w:val="26"/>
          <w:lang w:val="en-US"/>
        </w:rPr>
        <w:lastRenderedPageBreak/>
        <w:t>marginality</w:t>
      </w:r>
      <w:proofErr w:type="gramEnd"/>
      <w:r w:rsidRPr="00445E18">
        <w:rPr>
          <w:rFonts w:ascii="Times New Roman" w:hAnsi="Times New Roman" w:cs="Times New Roman"/>
          <w:color w:val="000000" w:themeColor="text1"/>
          <w:sz w:val="26"/>
          <w:szCs w:val="26"/>
          <w:lang w:val="en-US"/>
        </w:rPr>
        <w:t xml:space="preserve"> and efficiency, </w:t>
      </w:r>
      <w:r w:rsidRPr="00445E18">
        <w:rPr>
          <w:rFonts w:ascii="Times New Roman" w:hAnsi="Times New Roman" w:cs="Times New Roman"/>
          <w:i/>
          <w:color w:val="000000" w:themeColor="text1"/>
          <w:sz w:val="24"/>
          <w:szCs w:val="24"/>
          <w:lang w:val="en-US"/>
        </w:rPr>
        <w:t xml:space="preserve">Journal of Economic Inequality, </w:t>
      </w:r>
      <w:r w:rsidRPr="00445E18">
        <w:rPr>
          <w:rFonts w:ascii="Times New Roman" w:hAnsi="Times New Roman" w:cs="Times New Roman"/>
          <w:color w:val="000000" w:themeColor="text1"/>
          <w:sz w:val="24"/>
          <w:szCs w:val="24"/>
          <w:lang w:val="en-US"/>
        </w:rPr>
        <w:t>11:83-98, 2013.</w:t>
      </w:r>
    </w:p>
    <w:p w14:paraId="41F0E00D" w14:textId="77777777" w:rsidR="002870E5" w:rsidRPr="00445E18" w:rsidRDefault="002870E5" w:rsidP="002870E5">
      <w:pPr>
        <w:spacing w:after="0" w:line="360" w:lineRule="auto"/>
        <w:jc w:val="both"/>
        <w:rPr>
          <w:rFonts w:ascii="Times New Roman" w:hAnsi="Times New Roman" w:cs="Times New Roman"/>
          <w:color w:val="000000" w:themeColor="text1"/>
          <w:sz w:val="24"/>
          <w:szCs w:val="24"/>
          <w:lang w:val="en-US"/>
        </w:rPr>
      </w:pPr>
    </w:p>
    <w:p w14:paraId="4F8813BC" w14:textId="6ABC8B77" w:rsidR="0068248F" w:rsidRPr="00445E18" w:rsidRDefault="002870E5" w:rsidP="002870E5">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roofErr w:type="spellStart"/>
      <w:r w:rsidRPr="00445E18">
        <w:rPr>
          <w:rFonts w:ascii="Times New Roman" w:hAnsi="Times New Roman" w:cs="Times New Roman"/>
          <w:color w:val="000000" w:themeColor="text1"/>
          <w:sz w:val="24"/>
          <w:szCs w:val="24"/>
          <w:lang w:val="en-US"/>
        </w:rPr>
        <w:t>Chantreuil</w:t>
      </w:r>
      <w:proofErr w:type="spellEnd"/>
      <w:r w:rsidRPr="00445E18">
        <w:rPr>
          <w:rFonts w:ascii="Times New Roman" w:hAnsi="Times New Roman" w:cs="Times New Roman"/>
          <w:color w:val="000000" w:themeColor="text1"/>
          <w:sz w:val="24"/>
          <w:szCs w:val="24"/>
          <w:lang w:val="en-US"/>
        </w:rPr>
        <w:t xml:space="preserve">, F., </w:t>
      </w:r>
      <w:proofErr w:type="spellStart"/>
      <w:r w:rsidRPr="00445E18">
        <w:rPr>
          <w:rFonts w:ascii="Times New Roman" w:hAnsi="Times New Roman" w:cs="Times New Roman"/>
          <w:color w:val="000000" w:themeColor="text1"/>
          <w:sz w:val="24"/>
          <w:szCs w:val="24"/>
          <w:lang w:val="en-US"/>
        </w:rPr>
        <w:t>Trannoy</w:t>
      </w:r>
      <w:proofErr w:type="spellEnd"/>
      <w:r w:rsidRPr="00445E18">
        <w:rPr>
          <w:rFonts w:ascii="Times New Roman" w:hAnsi="Times New Roman" w:cs="Times New Roman"/>
          <w:color w:val="000000" w:themeColor="text1"/>
          <w:sz w:val="24"/>
          <w:szCs w:val="24"/>
          <w:lang w:val="en-US"/>
        </w:rPr>
        <w:t xml:space="preserve">, A.: Inequality decomposition values: the trade-off between marginality and consistency. Working Papers 99-24, THEMA, </w:t>
      </w:r>
      <w:proofErr w:type="spellStart"/>
      <w:r w:rsidRPr="00445E18">
        <w:rPr>
          <w:rFonts w:ascii="Times New Roman" w:hAnsi="Times New Roman" w:cs="Times New Roman"/>
          <w:color w:val="000000" w:themeColor="text1"/>
          <w:sz w:val="24"/>
          <w:szCs w:val="24"/>
          <w:lang w:val="en-US"/>
        </w:rPr>
        <w:t>Université</w:t>
      </w:r>
      <w:proofErr w:type="spellEnd"/>
      <w:r w:rsidRPr="00445E18">
        <w:rPr>
          <w:rFonts w:ascii="Times New Roman" w:hAnsi="Times New Roman" w:cs="Times New Roman"/>
          <w:color w:val="000000" w:themeColor="text1"/>
          <w:sz w:val="24"/>
          <w:szCs w:val="24"/>
          <w:lang w:val="en-US"/>
        </w:rPr>
        <w:t xml:space="preserve"> de </w:t>
      </w:r>
      <w:proofErr w:type="spellStart"/>
      <w:r w:rsidRPr="00445E18">
        <w:rPr>
          <w:rFonts w:ascii="Times New Roman" w:hAnsi="Times New Roman" w:cs="Times New Roman"/>
          <w:color w:val="000000" w:themeColor="text1"/>
          <w:sz w:val="24"/>
          <w:szCs w:val="24"/>
          <w:lang w:val="en-US"/>
        </w:rPr>
        <w:t>Cergy-Pontoise</w:t>
      </w:r>
      <w:proofErr w:type="spellEnd"/>
      <w:r w:rsidRPr="00445E18">
        <w:rPr>
          <w:rFonts w:ascii="Times New Roman" w:hAnsi="Times New Roman" w:cs="Times New Roman"/>
          <w:color w:val="000000" w:themeColor="text1"/>
          <w:sz w:val="24"/>
          <w:szCs w:val="24"/>
          <w:lang w:val="en-US"/>
        </w:rPr>
        <w:t>, 1999.</w:t>
      </w:r>
    </w:p>
    <w:p w14:paraId="50D03AF2" w14:textId="77777777" w:rsidR="002870E5" w:rsidRPr="00445E18" w:rsidRDefault="002870E5" w:rsidP="002870E5">
      <w:pPr>
        <w:spacing w:after="0" w:line="360" w:lineRule="auto"/>
        <w:jc w:val="both"/>
        <w:rPr>
          <w:rFonts w:ascii="Times New Roman" w:hAnsi="Times New Roman" w:cs="Times New Roman"/>
          <w:color w:val="000000" w:themeColor="text1"/>
          <w:sz w:val="24"/>
          <w:szCs w:val="24"/>
          <w:lang w:val="en-US"/>
        </w:rPr>
      </w:pPr>
    </w:p>
    <w:p w14:paraId="3269F00F" w14:textId="45934628" w:rsidR="0068248F" w:rsidRPr="00445E18" w:rsidRDefault="0068248F"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lang w:val="en-US"/>
        </w:rPr>
        <w:t xml:space="preserve">Cowell, A. F.; </w:t>
      </w:r>
      <w:proofErr w:type="spellStart"/>
      <w:r w:rsidR="002870E5" w:rsidRPr="00445E18">
        <w:rPr>
          <w:rFonts w:ascii="Times New Roman" w:hAnsi="Times New Roman" w:cs="Times New Roman"/>
          <w:color w:val="000000" w:themeColor="text1"/>
          <w:sz w:val="24"/>
          <w:szCs w:val="24"/>
          <w:lang w:val="en-US"/>
        </w:rPr>
        <w:t>Fiorio</w:t>
      </w:r>
      <w:proofErr w:type="spellEnd"/>
      <w:r w:rsidR="002870E5" w:rsidRPr="00445E18">
        <w:rPr>
          <w:rFonts w:ascii="Times New Roman" w:hAnsi="Times New Roman" w:cs="Times New Roman"/>
          <w:color w:val="000000" w:themeColor="text1"/>
          <w:sz w:val="24"/>
          <w:szCs w:val="24"/>
          <w:lang w:val="en-US"/>
        </w:rPr>
        <w:t>, C. V. Inequality Decomp</w:t>
      </w:r>
      <w:r w:rsidRPr="00445E18">
        <w:rPr>
          <w:rFonts w:ascii="Times New Roman" w:hAnsi="Times New Roman" w:cs="Times New Roman"/>
          <w:color w:val="000000" w:themeColor="text1"/>
          <w:sz w:val="24"/>
          <w:szCs w:val="24"/>
          <w:lang w:val="en-US"/>
        </w:rPr>
        <w:t xml:space="preserve">osition – A Reconciliation, </w:t>
      </w:r>
      <w:r w:rsidRPr="00445E18">
        <w:rPr>
          <w:rFonts w:ascii="Times New Roman" w:hAnsi="Times New Roman" w:cs="Times New Roman"/>
          <w:i/>
          <w:color w:val="000000" w:themeColor="text1"/>
          <w:sz w:val="24"/>
          <w:szCs w:val="24"/>
          <w:lang w:val="en-US"/>
        </w:rPr>
        <w:t xml:space="preserve">Journal of </w:t>
      </w:r>
      <w:r w:rsidR="002870E5" w:rsidRPr="00445E18">
        <w:rPr>
          <w:rFonts w:ascii="Times New Roman" w:hAnsi="Times New Roman" w:cs="Times New Roman"/>
          <w:i/>
          <w:color w:val="000000" w:themeColor="text1"/>
          <w:sz w:val="24"/>
          <w:szCs w:val="24"/>
          <w:lang w:val="en-US"/>
        </w:rPr>
        <w:t xml:space="preserve">Economic Inequality, </w:t>
      </w:r>
      <w:r w:rsidR="002870E5" w:rsidRPr="00445E18">
        <w:rPr>
          <w:rFonts w:ascii="Times New Roman" w:hAnsi="Times New Roman" w:cs="Times New Roman"/>
          <w:color w:val="000000" w:themeColor="text1"/>
          <w:sz w:val="24"/>
          <w:szCs w:val="24"/>
          <w:lang w:val="en-US"/>
        </w:rPr>
        <w:t>9:509-528, 2011.</w:t>
      </w:r>
    </w:p>
    <w:p w14:paraId="38C2A01C"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1D85147C"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rPr>
        <w:t xml:space="preserve">Duarte, A.; Ferreira, P. C.; Salvato, M.  Disparidades regionais ou educacionais? Um exercício com contrafactuais. </w:t>
      </w:r>
      <w:proofErr w:type="spellStart"/>
      <w:r w:rsidRPr="00445E18">
        <w:rPr>
          <w:rFonts w:ascii="Times New Roman" w:hAnsi="Times New Roman" w:cs="Times New Roman"/>
          <w:color w:val="000000" w:themeColor="text1"/>
          <w:sz w:val="24"/>
          <w:szCs w:val="24"/>
          <w:lang w:val="en-US"/>
        </w:rPr>
        <w:t>Mimeografado</w:t>
      </w:r>
      <w:proofErr w:type="spellEnd"/>
      <w:r w:rsidRPr="00445E18">
        <w:rPr>
          <w:rFonts w:ascii="Times New Roman" w:hAnsi="Times New Roman" w:cs="Times New Roman"/>
          <w:color w:val="000000" w:themeColor="text1"/>
          <w:sz w:val="24"/>
          <w:szCs w:val="24"/>
          <w:lang w:val="en-US"/>
        </w:rPr>
        <w:t>. 2003.</w:t>
      </w:r>
    </w:p>
    <w:p w14:paraId="156FA95F"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77C1708F"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roofErr w:type="spellStart"/>
      <w:r w:rsidRPr="00CC34B8">
        <w:rPr>
          <w:rFonts w:ascii="Times New Roman" w:hAnsi="Times New Roman" w:cs="Times New Roman"/>
          <w:color w:val="000000" w:themeColor="text1"/>
          <w:sz w:val="24"/>
          <w:szCs w:val="24"/>
          <w:lang w:val="en-US"/>
        </w:rPr>
        <w:t>Fei</w:t>
      </w:r>
      <w:proofErr w:type="gramStart"/>
      <w:r w:rsidRPr="00CC34B8">
        <w:rPr>
          <w:rFonts w:ascii="Times New Roman" w:hAnsi="Times New Roman" w:cs="Times New Roman"/>
          <w:color w:val="000000" w:themeColor="text1"/>
          <w:sz w:val="24"/>
          <w:szCs w:val="24"/>
          <w:lang w:val="en-US"/>
        </w:rPr>
        <w:t>,J</w:t>
      </w:r>
      <w:proofErr w:type="spellEnd"/>
      <w:proofErr w:type="gramEnd"/>
      <w:r w:rsidRPr="00CC34B8">
        <w:rPr>
          <w:rFonts w:ascii="Times New Roman" w:hAnsi="Times New Roman" w:cs="Times New Roman"/>
          <w:color w:val="000000" w:themeColor="text1"/>
          <w:sz w:val="24"/>
          <w:szCs w:val="24"/>
          <w:lang w:val="en-US"/>
        </w:rPr>
        <w:t xml:space="preserve">.; Ranis, G.; </w:t>
      </w:r>
      <w:proofErr w:type="spellStart"/>
      <w:r w:rsidRPr="00CC34B8">
        <w:rPr>
          <w:rFonts w:ascii="Times New Roman" w:hAnsi="Times New Roman" w:cs="Times New Roman"/>
          <w:color w:val="000000" w:themeColor="text1"/>
          <w:sz w:val="24"/>
          <w:szCs w:val="24"/>
          <w:lang w:val="en-US"/>
        </w:rPr>
        <w:t>Kuo</w:t>
      </w:r>
      <w:proofErr w:type="spellEnd"/>
      <w:r w:rsidRPr="00CC34B8">
        <w:rPr>
          <w:rFonts w:ascii="Times New Roman" w:hAnsi="Times New Roman" w:cs="Times New Roman"/>
          <w:color w:val="000000" w:themeColor="text1"/>
          <w:sz w:val="24"/>
          <w:szCs w:val="24"/>
          <w:lang w:val="en-US"/>
        </w:rPr>
        <w:t xml:space="preserve">, S.  </w:t>
      </w:r>
      <w:r w:rsidRPr="00445E18">
        <w:rPr>
          <w:rFonts w:ascii="Times New Roman" w:hAnsi="Times New Roman" w:cs="Times New Roman"/>
          <w:color w:val="000000" w:themeColor="text1"/>
          <w:sz w:val="24"/>
          <w:szCs w:val="24"/>
          <w:lang w:val="en-US"/>
        </w:rPr>
        <w:t xml:space="preserve">Growth with Equity: The Taiwan Case. </w:t>
      </w:r>
      <w:r w:rsidRPr="00445E18">
        <w:rPr>
          <w:rFonts w:ascii="Times New Roman" w:hAnsi="Times New Roman" w:cs="Times New Roman"/>
          <w:color w:val="000000" w:themeColor="text1"/>
          <w:sz w:val="24"/>
          <w:szCs w:val="24"/>
        </w:rPr>
        <w:t>New York: Oxford University Press. 1979.</w:t>
      </w:r>
    </w:p>
    <w:p w14:paraId="53080FFD"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
    <w:p w14:paraId="775A486E"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Hoffmann, Rodolpho. Transferências de renda e a redução da desigualdade no Brasil e cinco regiões entre 1997 e 2004. Econômica, 8(1), 55–81. 2006. </w:t>
      </w:r>
    </w:p>
    <w:p w14:paraId="5D9996E6"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683EE7F8"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Hoffmann, R.; Ney, M. G. A recente queda da desigualdade de renda no Brasil: análise </w:t>
      </w:r>
    </w:p>
    <w:p w14:paraId="5055FCF2"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de dados da PNAD, do Censo Demográfico e das Contas Nacionais.  Econômica, v. 10, n. 1, </w:t>
      </w:r>
    </w:p>
    <w:p w14:paraId="0DD5A051"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p. 7-39, 2008.</w:t>
      </w:r>
    </w:p>
    <w:p w14:paraId="5773F314"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
    <w:p w14:paraId="16413430"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rPr>
        <w:t xml:space="preserve">Kakwani, Nanaki.  </w:t>
      </w:r>
      <w:r w:rsidRPr="00445E18">
        <w:rPr>
          <w:rFonts w:ascii="Times New Roman" w:hAnsi="Times New Roman" w:cs="Times New Roman"/>
          <w:color w:val="000000" w:themeColor="text1"/>
          <w:sz w:val="24"/>
          <w:szCs w:val="24"/>
          <w:lang w:val="en-US"/>
        </w:rPr>
        <w:t>Income Inequality and Poverty: Methods of Estimation and Policy Applications. New York: Oxford University Press. 1980.</w:t>
      </w:r>
    </w:p>
    <w:p w14:paraId="5E7BDAD2"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50868BC5"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lang w:val="en-US"/>
        </w:rPr>
        <w:t xml:space="preserve">Leman, R.; </w:t>
      </w:r>
      <w:proofErr w:type="spellStart"/>
      <w:r w:rsidRPr="00445E18">
        <w:rPr>
          <w:rFonts w:ascii="Times New Roman" w:hAnsi="Times New Roman" w:cs="Times New Roman"/>
          <w:color w:val="000000" w:themeColor="text1"/>
          <w:sz w:val="24"/>
          <w:szCs w:val="24"/>
          <w:lang w:val="en-US"/>
        </w:rPr>
        <w:t>Yitzhaki</w:t>
      </w:r>
      <w:proofErr w:type="spellEnd"/>
      <w:r w:rsidRPr="00445E18">
        <w:rPr>
          <w:rFonts w:ascii="Times New Roman" w:hAnsi="Times New Roman" w:cs="Times New Roman"/>
          <w:color w:val="000000" w:themeColor="text1"/>
          <w:sz w:val="24"/>
          <w:szCs w:val="24"/>
          <w:lang w:val="en-US"/>
        </w:rPr>
        <w:t xml:space="preserve">, S. Income Inequality Effects by Income Source: A New Approach and Applications to the United States. </w:t>
      </w:r>
      <w:r w:rsidRPr="00445E18">
        <w:rPr>
          <w:rFonts w:ascii="Times New Roman" w:hAnsi="Times New Roman" w:cs="Times New Roman"/>
          <w:color w:val="000000" w:themeColor="text1"/>
          <w:sz w:val="24"/>
          <w:szCs w:val="24"/>
        </w:rPr>
        <w:t>Review of Economics and Statistics, 67, 151–156. 1985.</w:t>
      </w:r>
    </w:p>
    <w:p w14:paraId="54ACEA78"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08ABD8A3"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Osorio, R. G.; Souza, P. H. G. F. Evolução da pobreza extrema e da desigualdade de </w:t>
      </w:r>
    </w:p>
    <w:p w14:paraId="43A28CED"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rPr>
        <w:t xml:space="preserve">renda na Bahia: 1995 a 2009. Brasília: Ipea, 2012. </w:t>
      </w:r>
      <w:r w:rsidRPr="00445E18">
        <w:rPr>
          <w:rFonts w:ascii="Times New Roman" w:hAnsi="Times New Roman" w:cs="Times New Roman"/>
          <w:color w:val="000000" w:themeColor="text1"/>
          <w:sz w:val="24"/>
          <w:szCs w:val="24"/>
          <w:lang w:val="en-US"/>
        </w:rPr>
        <w:t>(</w:t>
      </w:r>
      <w:proofErr w:type="spellStart"/>
      <w:r w:rsidRPr="00445E18">
        <w:rPr>
          <w:rFonts w:ascii="Times New Roman" w:hAnsi="Times New Roman" w:cs="Times New Roman"/>
          <w:color w:val="000000" w:themeColor="text1"/>
          <w:sz w:val="24"/>
          <w:szCs w:val="24"/>
          <w:lang w:val="en-US"/>
        </w:rPr>
        <w:t>Texto</w:t>
      </w:r>
      <w:proofErr w:type="spellEnd"/>
      <w:r w:rsidRPr="00445E18">
        <w:rPr>
          <w:rFonts w:ascii="Times New Roman" w:hAnsi="Times New Roman" w:cs="Times New Roman"/>
          <w:color w:val="000000" w:themeColor="text1"/>
          <w:sz w:val="24"/>
          <w:szCs w:val="24"/>
          <w:lang w:val="en-US"/>
        </w:rPr>
        <w:t xml:space="preserve"> para </w:t>
      </w:r>
      <w:proofErr w:type="spellStart"/>
      <w:r w:rsidRPr="00445E18">
        <w:rPr>
          <w:rFonts w:ascii="Times New Roman" w:hAnsi="Times New Roman" w:cs="Times New Roman"/>
          <w:color w:val="000000" w:themeColor="text1"/>
          <w:sz w:val="24"/>
          <w:szCs w:val="24"/>
          <w:lang w:val="en-US"/>
        </w:rPr>
        <w:t>Discussão</w:t>
      </w:r>
      <w:proofErr w:type="spellEnd"/>
      <w:r w:rsidRPr="00445E18">
        <w:rPr>
          <w:rFonts w:ascii="Times New Roman" w:hAnsi="Times New Roman" w:cs="Times New Roman"/>
          <w:color w:val="000000" w:themeColor="text1"/>
          <w:sz w:val="24"/>
          <w:szCs w:val="24"/>
          <w:lang w:val="en-US"/>
        </w:rPr>
        <w:t>, n. 1.696).</w:t>
      </w:r>
    </w:p>
    <w:p w14:paraId="4E054447"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3B192C03"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lang w:val="en-US"/>
        </w:rPr>
        <w:lastRenderedPageBreak/>
        <w:t>Pose, A. R.; Tselios, V. Education and Income inequality in the regions of European Union. v. 49, 411-437. 2009.</w:t>
      </w:r>
    </w:p>
    <w:p w14:paraId="4FBA4F39"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397E1945"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proofErr w:type="spellStart"/>
      <w:r w:rsidRPr="00445E18">
        <w:rPr>
          <w:rFonts w:ascii="Times New Roman" w:hAnsi="Times New Roman" w:cs="Times New Roman"/>
          <w:color w:val="000000" w:themeColor="text1"/>
          <w:sz w:val="24"/>
          <w:szCs w:val="24"/>
          <w:lang w:val="en-US"/>
        </w:rPr>
        <w:t>Pyatt</w:t>
      </w:r>
      <w:proofErr w:type="spellEnd"/>
      <w:r w:rsidRPr="00445E18">
        <w:rPr>
          <w:rFonts w:ascii="Times New Roman" w:hAnsi="Times New Roman" w:cs="Times New Roman"/>
          <w:color w:val="000000" w:themeColor="text1"/>
          <w:sz w:val="24"/>
          <w:szCs w:val="24"/>
          <w:lang w:val="en-US"/>
        </w:rPr>
        <w:t xml:space="preserve">, G., Chen, C., &amp; </w:t>
      </w:r>
      <w:proofErr w:type="spellStart"/>
      <w:r w:rsidRPr="00445E18">
        <w:rPr>
          <w:rFonts w:ascii="Times New Roman" w:hAnsi="Times New Roman" w:cs="Times New Roman"/>
          <w:color w:val="000000" w:themeColor="text1"/>
          <w:sz w:val="24"/>
          <w:szCs w:val="24"/>
          <w:lang w:val="en-US"/>
        </w:rPr>
        <w:t>Fei</w:t>
      </w:r>
      <w:proofErr w:type="spellEnd"/>
      <w:r w:rsidRPr="00445E18">
        <w:rPr>
          <w:rFonts w:ascii="Times New Roman" w:hAnsi="Times New Roman" w:cs="Times New Roman"/>
          <w:color w:val="000000" w:themeColor="text1"/>
          <w:sz w:val="24"/>
          <w:szCs w:val="24"/>
          <w:lang w:val="en-US"/>
        </w:rPr>
        <w:t xml:space="preserve">, J. The distribution of income by factor components. Quarterly Journal of Economics, 95, 451-474. 1980. </w:t>
      </w:r>
    </w:p>
    <w:p w14:paraId="359C448F"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3C484600" w14:textId="5B286605" w:rsidR="00743989" w:rsidRPr="00445E18" w:rsidRDefault="002870E5" w:rsidP="002870E5">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proofErr w:type="spellStart"/>
      <w:r w:rsidRPr="00445E18">
        <w:rPr>
          <w:rFonts w:ascii="Times New Roman" w:hAnsi="Times New Roman" w:cs="Times New Roman"/>
          <w:color w:val="000000" w:themeColor="text1"/>
          <w:sz w:val="24"/>
          <w:szCs w:val="24"/>
          <w:lang w:val="en-US"/>
        </w:rPr>
        <w:t>Sastre</w:t>
      </w:r>
      <w:proofErr w:type="spellEnd"/>
      <w:r w:rsidRPr="00445E18">
        <w:rPr>
          <w:rFonts w:ascii="Times New Roman" w:hAnsi="Times New Roman" w:cs="Times New Roman"/>
          <w:color w:val="000000" w:themeColor="text1"/>
          <w:sz w:val="24"/>
          <w:szCs w:val="24"/>
          <w:lang w:val="en-US"/>
        </w:rPr>
        <w:t xml:space="preserve">, M., </w:t>
      </w:r>
      <w:proofErr w:type="spellStart"/>
      <w:r w:rsidRPr="00445E18">
        <w:rPr>
          <w:rFonts w:ascii="Times New Roman" w:hAnsi="Times New Roman" w:cs="Times New Roman"/>
          <w:color w:val="000000" w:themeColor="text1"/>
          <w:sz w:val="24"/>
          <w:szCs w:val="24"/>
          <w:lang w:val="en-US"/>
        </w:rPr>
        <w:t>Trannoy</w:t>
      </w:r>
      <w:proofErr w:type="spellEnd"/>
      <w:r w:rsidRPr="00445E18">
        <w:rPr>
          <w:rFonts w:ascii="Times New Roman" w:hAnsi="Times New Roman" w:cs="Times New Roman"/>
          <w:color w:val="000000" w:themeColor="text1"/>
          <w:sz w:val="24"/>
          <w:szCs w:val="24"/>
          <w:lang w:val="en-US"/>
        </w:rPr>
        <w:t xml:space="preserve">, A.: Shapley inequality decomposition by factor components: some methodological issues. J. </w:t>
      </w:r>
      <w:proofErr w:type="spellStart"/>
      <w:r w:rsidRPr="00445E18">
        <w:rPr>
          <w:rFonts w:ascii="Times New Roman" w:hAnsi="Times New Roman" w:cs="Times New Roman"/>
          <w:color w:val="000000" w:themeColor="text1"/>
          <w:sz w:val="24"/>
          <w:szCs w:val="24"/>
          <w:lang w:val="en-US"/>
        </w:rPr>
        <w:t>Econom</w:t>
      </w:r>
      <w:proofErr w:type="spellEnd"/>
      <w:r w:rsidRPr="00445E18">
        <w:rPr>
          <w:rFonts w:ascii="Times New Roman" w:hAnsi="Times New Roman" w:cs="Times New Roman"/>
          <w:color w:val="000000" w:themeColor="text1"/>
          <w:sz w:val="24"/>
          <w:szCs w:val="24"/>
          <w:lang w:val="en-US"/>
        </w:rPr>
        <w:t>. Supplement 9: 51–90, 2002.</w:t>
      </w:r>
    </w:p>
    <w:p w14:paraId="5456993A" w14:textId="77777777" w:rsidR="002870E5" w:rsidRPr="00445E18" w:rsidRDefault="002870E5" w:rsidP="002870E5">
      <w:pPr>
        <w:widowControl w:val="0"/>
        <w:autoSpaceDE w:val="0"/>
        <w:autoSpaceDN w:val="0"/>
        <w:adjustRightInd w:val="0"/>
        <w:spacing w:after="0" w:line="240" w:lineRule="auto"/>
        <w:rPr>
          <w:rFonts w:ascii="Times New Roman" w:hAnsi="Times New Roman" w:cs="Times New Roman"/>
          <w:color w:val="000000" w:themeColor="text1"/>
          <w:sz w:val="24"/>
          <w:szCs w:val="24"/>
          <w:lang w:val="en-US"/>
        </w:rPr>
      </w:pPr>
    </w:p>
    <w:p w14:paraId="3BB2357B"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proofErr w:type="spellStart"/>
      <w:r w:rsidRPr="00445E18">
        <w:rPr>
          <w:rFonts w:ascii="Times New Roman" w:hAnsi="Times New Roman" w:cs="Times New Roman"/>
          <w:color w:val="000000" w:themeColor="text1"/>
          <w:sz w:val="24"/>
          <w:szCs w:val="24"/>
          <w:lang w:val="en-US"/>
        </w:rPr>
        <w:t>Shorrocks</w:t>
      </w:r>
      <w:proofErr w:type="spellEnd"/>
      <w:r w:rsidRPr="00445E18">
        <w:rPr>
          <w:rFonts w:ascii="Times New Roman" w:hAnsi="Times New Roman" w:cs="Times New Roman"/>
          <w:color w:val="000000" w:themeColor="text1"/>
          <w:sz w:val="24"/>
          <w:szCs w:val="24"/>
          <w:lang w:val="en-US"/>
        </w:rPr>
        <w:t xml:space="preserve">, A. F. Decomposition Procedures for Distributional Analysis: A Unified framework Based on the Shapley Value. University of Essex: mimeo, 1999. </w:t>
      </w:r>
    </w:p>
    <w:p w14:paraId="3EBA9476"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16DE5879"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roofErr w:type="spellStart"/>
      <w:r w:rsidRPr="00445E18">
        <w:rPr>
          <w:rFonts w:ascii="Times New Roman" w:hAnsi="Times New Roman" w:cs="Times New Roman"/>
          <w:color w:val="000000" w:themeColor="text1"/>
          <w:sz w:val="24"/>
          <w:szCs w:val="24"/>
          <w:lang w:val="en-US"/>
        </w:rPr>
        <w:t>Shorrocks</w:t>
      </w:r>
      <w:proofErr w:type="spellEnd"/>
      <w:r w:rsidRPr="00445E18">
        <w:rPr>
          <w:rFonts w:ascii="Times New Roman" w:hAnsi="Times New Roman" w:cs="Times New Roman"/>
          <w:color w:val="000000" w:themeColor="text1"/>
          <w:sz w:val="24"/>
          <w:szCs w:val="24"/>
          <w:lang w:val="en-US"/>
        </w:rPr>
        <w:t xml:space="preserve">, A. F. Decomposition Procedures for Distributional Analysis: A Unified framework Based on the Shapley Value. </w:t>
      </w:r>
      <w:r w:rsidRPr="00445E18">
        <w:rPr>
          <w:rFonts w:ascii="Times New Roman" w:hAnsi="Times New Roman" w:cs="Times New Roman"/>
          <w:color w:val="000000" w:themeColor="text1"/>
          <w:sz w:val="24"/>
          <w:szCs w:val="24"/>
        </w:rPr>
        <w:t xml:space="preserve">Jornal of Economic Inequality. 2012 </w:t>
      </w:r>
    </w:p>
    <w:p w14:paraId="6AF4D91F"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4E3A58D2"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rPr>
        <w:t xml:space="preserve">Silveira Neto, R. M. ; Menezes, T. A. Disparidades Regionais de Renda no Brasil: Analisando a Importância do Capital Humano. In: Fundação Konrad-Adeneur. (Org.). Fórum Brasil-Europa. Fundação Konrad-Adeneur. </w:t>
      </w:r>
      <w:r w:rsidRPr="00445E18">
        <w:rPr>
          <w:rFonts w:ascii="Times New Roman" w:hAnsi="Times New Roman" w:cs="Times New Roman"/>
          <w:color w:val="000000" w:themeColor="text1"/>
          <w:sz w:val="24"/>
          <w:szCs w:val="24"/>
          <w:lang w:val="en-US"/>
        </w:rPr>
        <w:t>2008.</w:t>
      </w:r>
    </w:p>
    <w:p w14:paraId="2F6E531F"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36779624" w14:textId="77777777" w:rsidR="00743989" w:rsidRPr="00445E18" w:rsidRDefault="00743989" w:rsidP="003C3441">
      <w:pPr>
        <w:autoSpaceDE w:val="0"/>
        <w:autoSpaceDN w:val="0"/>
        <w:adjustRightInd w:val="0"/>
        <w:spacing w:after="0" w:line="360" w:lineRule="auto"/>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lang w:val="en-US"/>
        </w:rPr>
        <w:t>Silveira Neto, R. M</w:t>
      </w:r>
      <w:proofErr w:type="gramStart"/>
      <w:r w:rsidRPr="00445E18">
        <w:rPr>
          <w:rFonts w:ascii="Times New Roman" w:hAnsi="Times New Roman" w:cs="Times New Roman"/>
          <w:color w:val="000000" w:themeColor="text1"/>
          <w:sz w:val="24"/>
          <w:szCs w:val="24"/>
          <w:lang w:val="en-US"/>
        </w:rPr>
        <w:t>. ;</w:t>
      </w:r>
      <w:proofErr w:type="gramEnd"/>
      <w:r w:rsidRPr="00445E18">
        <w:rPr>
          <w:rFonts w:ascii="Times New Roman" w:hAnsi="Times New Roman" w:cs="Times New Roman"/>
          <w:color w:val="000000" w:themeColor="text1"/>
          <w:sz w:val="24"/>
          <w:szCs w:val="24"/>
          <w:lang w:val="en-US"/>
        </w:rPr>
        <w:t xml:space="preserve"> </w:t>
      </w:r>
      <w:proofErr w:type="spellStart"/>
      <w:r w:rsidRPr="00445E18">
        <w:rPr>
          <w:rFonts w:ascii="Times New Roman" w:hAnsi="Times New Roman" w:cs="Times New Roman"/>
          <w:color w:val="000000" w:themeColor="text1"/>
          <w:sz w:val="24"/>
          <w:szCs w:val="24"/>
          <w:lang w:val="en-US"/>
        </w:rPr>
        <w:t>Azzoni</w:t>
      </w:r>
      <w:proofErr w:type="spellEnd"/>
      <w:r w:rsidRPr="00445E18">
        <w:rPr>
          <w:rFonts w:ascii="Times New Roman" w:hAnsi="Times New Roman" w:cs="Times New Roman"/>
          <w:color w:val="000000" w:themeColor="text1"/>
          <w:sz w:val="24"/>
          <w:szCs w:val="24"/>
          <w:lang w:val="en-US"/>
        </w:rPr>
        <w:t>, C. R. Non-Spatial Government Policies and Regional</w:t>
      </w:r>
    </w:p>
    <w:p w14:paraId="24C7C0AA"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lang w:val="en-US"/>
        </w:rPr>
      </w:pPr>
      <w:r w:rsidRPr="00445E18">
        <w:rPr>
          <w:rFonts w:ascii="Times New Roman" w:hAnsi="Times New Roman" w:cs="Times New Roman"/>
          <w:color w:val="000000" w:themeColor="text1"/>
          <w:sz w:val="24"/>
          <w:szCs w:val="24"/>
          <w:lang w:val="en-US"/>
        </w:rPr>
        <w:t xml:space="preserve">Income Inequality in Brazil. Regional Studies, </w:t>
      </w:r>
      <w:proofErr w:type="gramStart"/>
      <w:r w:rsidRPr="00445E18">
        <w:rPr>
          <w:rFonts w:ascii="Times New Roman" w:hAnsi="Times New Roman" w:cs="Times New Roman"/>
          <w:color w:val="000000" w:themeColor="text1"/>
          <w:sz w:val="24"/>
          <w:szCs w:val="24"/>
          <w:lang w:val="en-US"/>
        </w:rPr>
        <w:t>v.45(</w:t>
      </w:r>
      <w:proofErr w:type="gramEnd"/>
      <w:r w:rsidRPr="00445E18">
        <w:rPr>
          <w:rFonts w:ascii="Times New Roman" w:hAnsi="Times New Roman" w:cs="Times New Roman"/>
          <w:color w:val="000000" w:themeColor="text1"/>
          <w:sz w:val="24"/>
          <w:szCs w:val="24"/>
          <w:lang w:val="en-US"/>
        </w:rPr>
        <w:t>4) , p.453-461, 2011.</w:t>
      </w:r>
    </w:p>
    <w:p w14:paraId="1E370E94"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lang w:val="en-US"/>
        </w:rPr>
      </w:pPr>
    </w:p>
    <w:p w14:paraId="41370EEB"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lang w:val="en-US"/>
        </w:rPr>
        <w:t>Silveira Neto, R. M</w:t>
      </w:r>
      <w:proofErr w:type="gramStart"/>
      <w:r w:rsidRPr="00445E18">
        <w:rPr>
          <w:rFonts w:ascii="Times New Roman" w:hAnsi="Times New Roman" w:cs="Times New Roman"/>
          <w:color w:val="000000" w:themeColor="text1"/>
          <w:sz w:val="24"/>
          <w:szCs w:val="24"/>
          <w:lang w:val="en-US"/>
        </w:rPr>
        <w:t>. ;</w:t>
      </w:r>
      <w:proofErr w:type="gramEnd"/>
      <w:r w:rsidRPr="00445E18">
        <w:rPr>
          <w:rFonts w:ascii="Times New Roman" w:hAnsi="Times New Roman" w:cs="Times New Roman"/>
          <w:color w:val="000000" w:themeColor="text1"/>
          <w:sz w:val="24"/>
          <w:szCs w:val="24"/>
          <w:lang w:val="en-US"/>
        </w:rPr>
        <w:t xml:space="preserve"> </w:t>
      </w:r>
      <w:proofErr w:type="spellStart"/>
      <w:r w:rsidRPr="00445E18">
        <w:rPr>
          <w:rFonts w:ascii="Times New Roman" w:hAnsi="Times New Roman" w:cs="Times New Roman"/>
          <w:color w:val="000000" w:themeColor="text1"/>
          <w:sz w:val="24"/>
          <w:szCs w:val="24"/>
          <w:lang w:val="en-US"/>
        </w:rPr>
        <w:t>Azzoni</w:t>
      </w:r>
      <w:proofErr w:type="spellEnd"/>
      <w:r w:rsidRPr="00445E18">
        <w:rPr>
          <w:rFonts w:ascii="Times New Roman" w:hAnsi="Times New Roman" w:cs="Times New Roman"/>
          <w:color w:val="000000" w:themeColor="text1"/>
          <w:sz w:val="24"/>
          <w:szCs w:val="24"/>
          <w:lang w:val="en-US"/>
        </w:rPr>
        <w:t xml:space="preserve">, C. R. Social policy as regional policy: market and non-market factors determining regional inequality. </w:t>
      </w:r>
      <w:r w:rsidRPr="00445E18">
        <w:rPr>
          <w:rFonts w:ascii="Times New Roman" w:hAnsi="Times New Roman" w:cs="Times New Roman"/>
          <w:color w:val="000000" w:themeColor="text1"/>
          <w:sz w:val="24"/>
          <w:szCs w:val="24"/>
        </w:rPr>
        <w:t>Journal of Regional Science, v. 51, p. 1-18, 2012.</w:t>
      </w:r>
    </w:p>
    <w:p w14:paraId="78442E53"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6AB22800"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Soares, S.  Análise de bem-estar e Decomposicão por fatores da queda na desigualdade entre 1995 e 2004. Econômica, 8(1), 83–115. 2006.</w:t>
      </w:r>
    </w:p>
    <w:p w14:paraId="4FB57FF6"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p>
    <w:p w14:paraId="00FAD2CB" w14:textId="77777777" w:rsidR="00743989" w:rsidRPr="00445E18" w:rsidRDefault="00743989" w:rsidP="003C3441">
      <w:pPr>
        <w:autoSpaceDE w:val="0"/>
        <w:autoSpaceDN w:val="0"/>
        <w:adjustRightInd w:val="0"/>
        <w:spacing w:after="0" w:line="360" w:lineRule="auto"/>
        <w:rPr>
          <w:rFonts w:ascii="Times New Roman" w:hAnsi="Times New Roman" w:cs="Times New Roman"/>
          <w:color w:val="000000" w:themeColor="text1"/>
          <w:sz w:val="24"/>
          <w:szCs w:val="24"/>
        </w:rPr>
      </w:pPr>
      <w:r w:rsidRPr="00445E18">
        <w:rPr>
          <w:rFonts w:ascii="Times New Roman" w:hAnsi="Times New Roman" w:cs="Times New Roman"/>
          <w:color w:val="000000" w:themeColor="text1"/>
          <w:sz w:val="24"/>
          <w:szCs w:val="24"/>
        </w:rPr>
        <w:t xml:space="preserve">Soares, S. et al.  (2010) Os impactos do beneficio do Programa Bolsa Familia sobre a desigualdadee a pobreza. In: CASTRO, J. A.; MODESTO, L. (Eds.). Bolsa Família 2003-2010: avancos e desafios. Brasilia: Ipea, v. 2, p. 366. </w:t>
      </w:r>
    </w:p>
    <w:p w14:paraId="317561BB" w14:textId="77777777" w:rsidR="00743989" w:rsidRPr="00445E18" w:rsidRDefault="00743989" w:rsidP="003C3441">
      <w:pPr>
        <w:spacing w:after="0" w:line="360" w:lineRule="auto"/>
        <w:jc w:val="both"/>
        <w:rPr>
          <w:rFonts w:ascii="Times New Roman" w:hAnsi="Times New Roman" w:cs="Times New Roman"/>
          <w:color w:val="000000" w:themeColor="text1"/>
          <w:sz w:val="20"/>
          <w:szCs w:val="20"/>
        </w:rPr>
      </w:pPr>
    </w:p>
    <w:p w14:paraId="7F330E4F" w14:textId="77777777" w:rsidR="00743989" w:rsidRPr="00445E18" w:rsidRDefault="00743989" w:rsidP="003C3441">
      <w:pPr>
        <w:spacing w:after="0" w:line="360" w:lineRule="auto"/>
        <w:jc w:val="both"/>
        <w:rPr>
          <w:rFonts w:ascii="Times New Roman" w:hAnsi="Times New Roman" w:cs="Times New Roman"/>
          <w:color w:val="000000" w:themeColor="text1"/>
          <w:sz w:val="24"/>
          <w:szCs w:val="24"/>
        </w:rPr>
      </w:pPr>
      <w:r w:rsidRPr="00445E18">
        <w:rPr>
          <w:rFonts w:ascii="Times New Roman" w:eastAsia="Calibri" w:hAnsi="Times New Roman" w:cs="Times New Roman"/>
          <w:color w:val="000000" w:themeColor="text1"/>
          <w:sz w:val="24"/>
          <w:szCs w:val="24"/>
        </w:rPr>
        <w:lastRenderedPageBreak/>
        <w:t xml:space="preserve">Souza, P. H. G. F. (2013) As causas imediatas do crescimento da renda, da redução da desigualdade e da queda da extrema pobreza na Bahia, no Nordeste e no Brasil entre 2003 e 2011. </w:t>
      </w:r>
      <w:r w:rsidRPr="00445E18">
        <w:rPr>
          <w:rFonts w:ascii="Times New Roman" w:eastAsia="Calibri" w:hAnsi="Times New Roman" w:cs="Times New Roman"/>
          <w:color w:val="000000" w:themeColor="text1"/>
          <w:sz w:val="24"/>
          <w:szCs w:val="24"/>
          <w:lang w:val="en-US"/>
        </w:rPr>
        <w:t xml:space="preserve">Brasília: </w:t>
      </w:r>
      <w:proofErr w:type="spellStart"/>
      <w:r w:rsidRPr="00445E18">
        <w:rPr>
          <w:rFonts w:ascii="Times New Roman" w:eastAsia="Calibri" w:hAnsi="Times New Roman" w:cs="Times New Roman"/>
          <w:color w:val="000000" w:themeColor="text1"/>
          <w:sz w:val="24"/>
          <w:szCs w:val="24"/>
          <w:lang w:val="en-US"/>
        </w:rPr>
        <w:t>Ipea</w:t>
      </w:r>
      <w:proofErr w:type="spellEnd"/>
      <w:r w:rsidRPr="00445E18">
        <w:rPr>
          <w:rFonts w:ascii="Times New Roman" w:eastAsia="Calibri" w:hAnsi="Times New Roman" w:cs="Times New Roman"/>
          <w:color w:val="000000" w:themeColor="text1"/>
          <w:sz w:val="24"/>
          <w:szCs w:val="24"/>
          <w:lang w:val="en-US"/>
        </w:rPr>
        <w:t xml:space="preserve"> (</w:t>
      </w:r>
      <w:proofErr w:type="spellStart"/>
      <w:r w:rsidRPr="00445E18">
        <w:rPr>
          <w:rFonts w:ascii="Times New Roman" w:eastAsia="Calibri" w:hAnsi="Times New Roman" w:cs="Times New Roman"/>
          <w:color w:val="000000" w:themeColor="text1"/>
          <w:sz w:val="24"/>
          <w:szCs w:val="24"/>
          <w:lang w:val="en-US"/>
        </w:rPr>
        <w:t>Texto</w:t>
      </w:r>
      <w:proofErr w:type="spellEnd"/>
      <w:r w:rsidRPr="00445E18">
        <w:rPr>
          <w:rFonts w:ascii="Times New Roman" w:eastAsia="Calibri" w:hAnsi="Times New Roman" w:cs="Times New Roman"/>
          <w:color w:val="000000" w:themeColor="text1"/>
          <w:sz w:val="24"/>
          <w:szCs w:val="24"/>
          <w:lang w:val="en-US"/>
        </w:rPr>
        <w:t xml:space="preserve"> para </w:t>
      </w:r>
      <w:proofErr w:type="spellStart"/>
      <w:r w:rsidRPr="00445E18">
        <w:rPr>
          <w:rFonts w:ascii="Times New Roman" w:eastAsia="Calibri" w:hAnsi="Times New Roman" w:cs="Times New Roman"/>
          <w:color w:val="000000" w:themeColor="text1"/>
          <w:sz w:val="24"/>
          <w:szCs w:val="24"/>
          <w:lang w:val="en-US"/>
        </w:rPr>
        <w:t>Discussão</w:t>
      </w:r>
      <w:proofErr w:type="spellEnd"/>
      <w:r w:rsidRPr="00445E18">
        <w:rPr>
          <w:rFonts w:ascii="Times New Roman" w:eastAsia="Calibri" w:hAnsi="Times New Roman" w:cs="Times New Roman"/>
          <w:color w:val="000000" w:themeColor="text1"/>
          <w:sz w:val="24"/>
          <w:szCs w:val="24"/>
          <w:lang w:val="en-US"/>
        </w:rPr>
        <w:t>, n. 1.816).</w:t>
      </w:r>
    </w:p>
    <w:p w14:paraId="64B8EE10" w14:textId="77777777" w:rsidR="00F50B5C" w:rsidRPr="00445E18" w:rsidRDefault="00F50B5C" w:rsidP="003C3441">
      <w:pPr>
        <w:spacing w:line="360" w:lineRule="auto"/>
        <w:rPr>
          <w:color w:val="000000" w:themeColor="text1"/>
        </w:rPr>
      </w:pPr>
    </w:p>
    <w:sectPr w:rsidR="00F50B5C" w:rsidRPr="00445E18" w:rsidSect="003C344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E38FF" w14:textId="77777777" w:rsidR="00174000" w:rsidRDefault="00174000" w:rsidP="00743989">
      <w:pPr>
        <w:spacing w:after="0" w:line="240" w:lineRule="auto"/>
      </w:pPr>
      <w:r>
        <w:separator/>
      </w:r>
    </w:p>
  </w:endnote>
  <w:endnote w:type="continuationSeparator" w:id="0">
    <w:p w14:paraId="11E0F7C7" w14:textId="77777777" w:rsidR="00174000" w:rsidRDefault="00174000" w:rsidP="0074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72509" w14:textId="77777777" w:rsidR="00CC34B8" w:rsidRDefault="00CC34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7A979" w14:textId="77777777" w:rsidR="00174000" w:rsidRDefault="00174000" w:rsidP="00743989">
      <w:pPr>
        <w:spacing w:after="0" w:line="240" w:lineRule="auto"/>
      </w:pPr>
      <w:r>
        <w:separator/>
      </w:r>
    </w:p>
  </w:footnote>
  <w:footnote w:type="continuationSeparator" w:id="0">
    <w:p w14:paraId="21843CBB" w14:textId="77777777" w:rsidR="00174000" w:rsidRDefault="00174000" w:rsidP="00743989">
      <w:pPr>
        <w:spacing w:after="0" w:line="240" w:lineRule="auto"/>
      </w:pPr>
      <w:r>
        <w:continuationSeparator/>
      </w:r>
    </w:p>
  </w:footnote>
  <w:footnote w:id="1">
    <w:p w14:paraId="762A9E7D" w14:textId="6BC22B04" w:rsidR="004318D4" w:rsidRPr="00CC34B8" w:rsidRDefault="004318D4" w:rsidP="002763E7">
      <w:pPr>
        <w:pStyle w:val="FootnoteText"/>
        <w:jc w:val="both"/>
        <w:rPr>
          <w:rFonts w:ascii="Times New Roman" w:hAnsi="Times New Roman" w:cs="Times New Roman"/>
        </w:rPr>
      </w:pPr>
      <w:r>
        <w:rPr>
          <w:rStyle w:val="FootnoteReference"/>
        </w:rPr>
        <w:footnoteRef/>
      </w:r>
      <w:r>
        <w:t xml:space="preserve"> </w:t>
      </w:r>
      <w:r w:rsidRPr="002763E7">
        <w:rPr>
          <w:rFonts w:ascii="Times New Roman" w:hAnsi="Times New Roman" w:cs="Times New Roman"/>
        </w:rPr>
        <w:t>Com o objetivo de evitar a influência da dimensão</w:t>
      </w:r>
      <w:r>
        <w:rPr>
          <w:rFonts w:ascii="Times New Roman" w:hAnsi="Times New Roman" w:cs="Times New Roman"/>
        </w:rPr>
        <w:t xml:space="preserve"> dos estados nos resultados,</w:t>
      </w:r>
      <w:r>
        <w:t xml:space="preserve"> </w:t>
      </w:r>
      <w:r w:rsidRPr="00CC34B8">
        <w:rPr>
          <w:rFonts w:ascii="Times New Roman" w:hAnsi="Times New Roman" w:cs="Times New Roman"/>
        </w:rPr>
        <w:t>tais rendas são normalizadas pelas populaces dos estados, ou seja, o total é obtido após a divisão dos totais estaduais pelas respectivas populações.</w:t>
      </w:r>
    </w:p>
  </w:footnote>
  <w:footnote w:id="2">
    <w:p w14:paraId="53D1D9E8" w14:textId="77777777" w:rsidR="004318D4" w:rsidRPr="00590B1C" w:rsidRDefault="004318D4" w:rsidP="00743989">
      <w:pPr>
        <w:pStyle w:val="FootnoteText"/>
        <w:jc w:val="both"/>
        <w:rPr>
          <w:rFonts w:ascii="Times New Roman" w:hAnsi="Times New Roman" w:cs="Times New Roman"/>
        </w:rPr>
      </w:pPr>
      <w:r w:rsidRPr="00590B1C">
        <w:rPr>
          <w:rStyle w:val="FootnoteReference"/>
          <w:rFonts w:ascii="Times New Roman" w:hAnsi="Times New Roman" w:cs="Times New Roman"/>
        </w:rPr>
        <w:footnoteRef/>
      </w:r>
      <w:r w:rsidRPr="00590B1C">
        <w:rPr>
          <w:rFonts w:ascii="Times New Roman" w:hAnsi="Times New Roman" w:cs="Times New Roman"/>
        </w:rPr>
        <w:t xml:space="preserve"> </w:t>
      </w:r>
      <w:r>
        <w:rPr>
          <w:rFonts w:ascii="Times New Roman" w:hAnsi="Times New Roman" w:cs="Times New Roman"/>
        </w:rPr>
        <w:t>Para um</w:t>
      </w:r>
      <w:r w:rsidRPr="00590B1C">
        <w:rPr>
          <w:rFonts w:ascii="Times New Roman" w:hAnsi="Times New Roman" w:cs="Times New Roman"/>
        </w:rPr>
        <w:t>a discussão das diferentes maneiras de imputação das renda</w:t>
      </w:r>
      <w:r>
        <w:rPr>
          <w:rFonts w:ascii="Times New Roman" w:hAnsi="Times New Roman" w:cs="Times New Roman"/>
        </w:rPr>
        <w:t>s</w:t>
      </w:r>
      <w:r w:rsidRPr="00590B1C">
        <w:rPr>
          <w:rFonts w:ascii="Times New Roman" w:hAnsi="Times New Roman" w:cs="Times New Roman"/>
        </w:rPr>
        <w:t xml:space="preserve"> dos programas sociais a partir das informações da PNAD é feita </w:t>
      </w:r>
      <w:r>
        <w:rPr>
          <w:rFonts w:ascii="Times New Roman" w:hAnsi="Times New Roman" w:cs="Times New Roman"/>
        </w:rPr>
        <w:t xml:space="preserve">Soares </w:t>
      </w:r>
      <w:r w:rsidRPr="00DD7DF6">
        <w:rPr>
          <w:rFonts w:ascii="Times New Roman" w:hAnsi="Times New Roman" w:cs="Times New Roman"/>
          <w:i/>
        </w:rPr>
        <w:t>et al</w:t>
      </w:r>
      <w:r>
        <w:rPr>
          <w:rFonts w:ascii="Times New Roman" w:hAnsi="Times New Roman" w:cs="Times New Roman"/>
        </w:rPr>
        <w:t xml:space="preserve">. (2010). </w:t>
      </w:r>
    </w:p>
  </w:footnote>
  <w:footnote w:id="3">
    <w:p w14:paraId="34A17106" w14:textId="197AB058" w:rsidR="004318D4" w:rsidRPr="008D13B2" w:rsidRDefault="004318D4" w:rsidP="00743989">
      <w:pPr>
        <w:pStyle w:val="FootnoteText"/>
        <w:rPr>
          <w:rFonts w:ascii="Times New Roman" w:hAnsi="Times New Roman" w:cs="Times New Roman"/>
          <w:color w:val="FF0000"/>
        </w:rPr>
      </w:pPr>
      <w:r w:rsidRPr="003F5334">
        <w:rPr>
          <w:rStyle w:val="FootnoteReference"/>
          <w:rFonts w:ascii="Times New Roman" w:hAnsi="Times New Roman" w:cs="Times New Roman"/>
        </w:rPr>
        <w:footnoteRef/>
      </w:r>
      <w:r w:rsidRPr="003F5334">
        <w:rPr>
          <w:rFonts w:ascii="Times New Roman" w:hAnsi="Times New Roman" w:cs="Times New Roman"/>
        </w:rPr>
        <w:t xml:space="preserve"> Ver</w:t>
      </w:r>
      <w:r>
        <w:rPr>
          <w:rFonts w:ascii="Times New Roman" w:hAnsi="Times New Roman" w:cs="Times New Roman"/>
        </w:rPr>
        <w:t xml:space="preserve"> a respeito, por exemplo,</w:t>
      </w:r>
      <w:r w:rsidRPr="003F5334">
        <w:rPr>
          <w:rFonts w:ascii="Times New Roman" w:hAnsi="Times New Roman" w:cs="Times New Roman"/>
        </w:rPr>
        <w:t xml:space="preserve"> Hoffman (</w:t>
      </w:r>
      <w:r>
        <w:rPr>
          <w:rFonts w:ascii="Times New Roman" w:hAnsi="Times New Roman" w:cs="Times New Roman"/>
        </w:rPr>
        <w:t>2012</w:t>
      </w:r>
      <w:r w:rsidRPr="003F5334">
        <w:rPr>
          <w:rFonts w:ascii="Times New Roman" w:hAnsi="Times New Roman" w:cs="Times New Roman"/>
        </w:rPr>
        <w:t>).</w:t>
      </w:r>
      <w:r>
        <w:rPr>
          <w:rFonts w:ascii="Times New Roman" w:hAnsi="Times New Roman" w:cs="Times New Roman"/>
        </w:rPr>
        <w:t xml:space="preserve"> </w:t>
      </w:r>
    </w:p>
  </w:footnote>
  <w:footnote w:id="4">
    <w:p w14:paraId="3079C18E" w14:textId="77777777" w:rsidR="004318D4" w:rsidRPr="00814D7A" w:rsidRDefault="004318D4" w:rsidP="00743989">
      <w:pPr>
        <w:pStyle w:val="FootnoteText"/>
        <w:rPr>
          <w:rFonts w:ascii="Times New Roman" w:hAnsi="Times New Roman" w:cs="Times New Roman"/>
        </w:rPr>
      </w:pPr>
      <w:r w:rsidRPr="00725B13">
        <w:rPr>
          <w:rStyle w:val="FootnoteReference"/>
          <w:rFonts w:ascii="Times New Roman" w:hAnsi="Times New Roman" w:cs="Times New Roman"/>
        </w:rPr>
        <w:footnoteRef/>
      </w:r>
      <w:r w:rsidRPr="00725B13">
        <w:rPr>
          <w:rFonts w:ascii="Times New Roman" w:hAnsi="Times New Roman" w:cs="Times New Roman"/>
        </w:rPr>
        <w:t xml:space="preserve"> Nas colunas (1) e (2) da Tabela 3 podem ser visualizados os valores exatos da participação das fontes de renda nos anos 1995 e 2011.</w:t>
      </w:r>
    </w:p>
  </w:footnote>
  <w:footnote w:id="5">
    <w:p w14:paraId="2F3D35AD" w14:textId="77777777" w:rsidR="004318D4" w:rsidRPr="00EF175A" w:rsidRDefault="004318D4" w:rsidP="00743989">
      <w:pPr>
        <w:pStyle w:val="FootnoteText"/>
        <w:jc w:val="both"/>
      </w:pPr>
      <w:r>
        <w:rPr>
          <w:rStyle w:val="FootnoteReference"/>
        </w:rPr>
        <w:footnoteRef/>
      </w:r>
      <w:r>
        <w:t xml:space="preserve"> </w:t>
      </w:r>
      <w:r w:rsidRPr="00E86A5B">
        <w:rPr>
          <w:rFonts w:ascii="Times New Roman" w:hAnsi="Times New Roman" w:cs="Times New Roman"/>
          <w:color w:val="000000" w:themeColor="text1"/>
        </w:rPr>
        <w:t xml:space="preserve">Como se pode perceber a partir da comparação entre as equações (9) e (4), </w:t>
      </w:r>
      <m:oMath>
        <m:sSub>
          <m:sSubPr>
            <m:ctrlPr>
              <w:rPr>
                <w:rFonts w:ascii="Cambria Math" w:eastAsiaTheme="minorEastAsia" w:hAnsi="Times New Roman" w:cs="Times New Roman"/>
                <w:i/>
                <w:color w:val="000000" w:themeColor="text1"/>
              </w:rPr>
            </m:ctrlPr>
          </m:sSubPr>
          <m:e>
            <m: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f</m:t>
            </m:r>
          </m:sub>
        </m:sSub>
        <m:r>
          <w:rPr>
            <w:rFonts w:ascii="Cambria Math" w:eastAsiaTheme="minorEastAsia" w:hAnsi="Times New Roman" w:cs="Times New Roman"/>
            <w:color w:val="000000" w:themeColor="text1"/>
          </w:rPr>
          <m:t>=</m:t>
        </m:r>
        <m:sSub>
          <m:sSubPr>
            <m:ctrlPr>
              <w:rPr>
                <w:rFonts w:ascii="Cambria Math" w:eastAsiaTheme="minorEastAsia" w:hAnsi="Times New Roman" w:cs="Times New Roman"/>
                <w:i/>
                <w:color w:val="000000" w:themeColor="text1"/>
              </w:rPr>
            </m:ctrlPr>
          </m:sSubPr>
          <m:e>
            <m:r>
              <w:rPr>
                <w:rFonts w:ascii="Cambria Math" w:eastAsiaTheme="minorEastAsia" w:hAnsi="Times New Roman" w:cs="Times New Roman"/>
                <w:color w:val="000000" w:themeColor="text1"/>
              </w:rPr>
              <m:t>C</m:t>
            </m:r>
          </m:e>
          <m:sub>
            <m:r>
              <w:rPr>
                <w:rFonts w:ascii="Cambria Math" w:eastAsiaTheme="minorEastAsia" w:hAnsi="Times New Roman" w:cs="Times New Roman"/>
                <w:color w:val="000000" w:themeColor="text1"/>
              </w:rPr>
              <m:t>f</m:t>
            </m:r>
          </m:sub>
        </m:sSub>
        <m:r>
          <w:rPr>
            <w:rFonts w:ascii="Cambria Math" w:eastAsiaTheme="minorEastAsia" w:hAnsi="Times New Roman" w:cs="Times New Roman"/>
            <w:color w:val="000000" w:themeColor="text1"/>
          </w:rPr>
          <m:t>/</m:t>
        </m:r>
        <m:sSub>
          <m:sSubPr>
            <m:ctrlPr>
              <w:rPr>
                <w:rFonts w:ascii="Cambria Math" w:eastAsiaTheme="minorEastAsia" w:hAnsi="Times New Roman" w:cs="Times New Roman"/>
                <w:i/>
                <w:color w:val="000000" w:themeColor="text1"/>
              </w:rPr>
            </m:ctrlPr>
          </m:sSubPr>
          <m:e>
            <m:r>
              <w:rPr>
                <w:rFonts w:ascii="Cambria Math" w:eastAsiaTheme="minorEastAsia" w:hAnsi="Times New Roman" w:cs="Times New Roman"/>
                <w:color w:val="000000" w:themeColor="text1"/>
              </w:rPr>
              <m:t>G</m:t>
            </m:r>
          </m:e>
          <m:sub>
            <m:r>
              <w:rPr>
                <w:rFonts w:ascii="Cambria Math" w:eastAsiaTheme="minorEastAsia" w:hAnsi="Times New Roman" w:cs="Times New Roman"/>
                <w:color w:val="000000" w:themeColor="text1"/>
              </w:rPr>
              <m:t>f</m:t>
            </m:r>
          </m:sub>
        </m:sSub>
      </m:oMath>
      <w:r w:rsidRPr="00E86A5B">
        <w:rPr>
          <w:rFonts w:ascii="Times New Roman" w:eastAsiaTheme="minorEastAsia" w:hAnsi="Times New Roman" w:cs="Times New Roman"/>
          <w:color w:val="000000" w:themeColor="text1"/>
        </w:rPr>
        <w:t xml:space="preserve">, ou seja, o fator </w:t>
      </w:r>
      <m:oMath>
        <m:sSub>
          <m:sSubPr>
            <m:ctrlPr>
              <w:rPr>
                <w:rFonts w:ascii="Cambria Math" w:eastAsiaTheme="minorEastAsia" w:hAnsi="Times New Roman" w:cs="Times New Roman"/>
                <w:i/>
                <w:color w:val="000000" w:themeColor="text1"/>
              </w:rPr>
            </m:ctrlPr>
          </m:sSubPr>
          <m:e>
            <m:r>
              <w:rPr>
                <w:rFonts w:ascii="Cambria Math" w:eastAsiaTheme="minorEastAsia" w:hAnsi="Cambria Math" w:cs="Times New Roman"/>
                <w:color w:val="000000" w:themeColor="text1"/>
              </w:rPr>
              <m:t>R</m:t>
            </m:r>
          </m:e>
          <m:sub>
            <m:r>
              <w:rPr>
                <w:rFonts w:ascii="Cambria Math" w:eastAsiaTheme="minorEastAsia" w:hAnsi="Cambria Math" w:cs="Times New Roman"/>
                <w:color w:val="000000" w:themeColor="text1"/>
              </w:rPr>
              <m:t>f</m:t>
            </m:r>
          </m:sub>
        </m:sSub>
      </m:oMath>
      <w:r w:rsidRPr="00E86A5B">
        <w:rPr>
          <w:rFonts w:ascii="Times New Roman" w:eastAsiaTheme="minorEastAsia" w:hAnsi="Times New Roman" w:cs="Times New Roman"/>
          <w:color w:val="000000" w:themeColor="text1"/>
        </w:rPr>
        <w:t xml:space="preserve"> corresponde também à razão entre o Coeficiente de Concentração da fonte </w:t>
      </w:r>
      <w:r w:rsidRPr="00E86A5B">
        <w:rPr>
          <w:rFonts w:ascii="Times New Roman" w:eastAsiaTheme="minorEastAsia" w:hAnsi="Times New Roman" w:cs="Times New Roman"/>
          <w:i/>
          <w:color w:val="000000" w:themeColor="text1"/>
        </w:rPr>
        <w:t xml:space="preserve">f </w:t>
      </w:r>
      <w:r w:rsidRPr="00E86A5B">
        <w:rPr>
          <w:rFonts w:ascii="Times New Roman" w:eastAsiaTheme="minorEastAsia" w:hAnsi="Times New Roman" w:cs="Times New Roman"/>
          <w:color w:val="000000" w:themeColor="text1"/>
        </w:rPr>
        <w:t>de renda e o índice de Gini de sua distribuição.</w:t>
      </w:r>
    </w:p>
  </w:footnote>
  <w:footnote w:id="6">
    <w:p w14:paraId="5A40FB66" w14:textId="566925D2" w:rsidR="004318D4" w:rsidRPr="0087033F" w:rsidRDefault="004318D4" w:rsidP="00743989">
      <w:pPr>
        <w:pStyle w:val="FootnoteText"/>
        <w:rPr>
          <w:rFonts w:ascii="Times New Roman" w:hAnsi="Times New Roman" w:cs="Times New Roman"/>
        </w:rPr>
      </w:pPr>
      <w:r w:rsidRPr="0087033F">
        <w:rPr>
          <w:rStyle w:val="FootnoteReference"/>
          <w:rFonts w:ascii="Times New Roman" w:hAnsi="Times New Roman" w:cs="Times New Roman"/>
        </w:rPr>
        <w:footnoteRef/>
      </w:r>
      <w:r w:rsidRPr="0087033F">
        <w:rPr>
          <w:rFonts w:ascii="Times New Roman" w:hAnsi="Times New Roman" w:cs="Times New Roman"/>
        </w:rPr>
        <w:t xml:space="preserve"> </w:t>
      </w:r>
      <w:r w:rsidRPr="00A14CE2">
        <w:rPr>
          <w:rFonts w:ascii="Times New Roman" w:hAnsi="Times New Roman" w:cs="Times New Roman"/>
        </w:rPr>
        <w:t xml:space="preserve">Para maiores detalhes sobre </w:t>
      </w:r>
      <w:r>
        <w:rPr>
          <w:rFonts w:ascii="Times New Roman" w:hAnsi="Times New Roman" w:cs="Times New Roman"/>
        </w:rPr>
        <w:t>a decomposição de Shapley, ver Deutsch e Silber (</w:t>
      </w:r>
      <w:r w:rsidRPr="00A14CE2">
        <w:rPr>
          <w:rFonts w:ascii="Times New Roman" w:hAnsi="Times New Roman" w:cs="Times New Roman"/>
        </w:rPr>
        <w:t>2005</w:t>
      </w:r>
      <w:r>
        <w:rPr>
          <w:rFonts w:ascii="Times New Roman" w:hAnsi="Times New Roman" w:cs="Times New Roman"/>
        </w:rPr>
        <w:t>), Shorrocks (</w:t>
      </w:r>
      <w:r w:rsidRPr="00A14CE2">
        <w:rPr>
          <w:rFonts w:ascii="Times New Roman" w:hAnsi="Times New Roman" w:cs="Times New Roman"/>
        </w:rPr>
        <w:t>2012</w:t>
      </w:r>
      <w:r>
        <w:rPr>
          <w:rFonts w:ascii="Times New Roman" w:hAnsi="Times New Roman" w:cs="Times New Roman"/>
        </w:rPr>
        <w:t>) e Sastre e Trannoy (</w:t>
      </w:r>
      <w:r w:rsidRPr="00A14CE2">
        <w:rPr>
          <w:rFonts w:ascii="Times New Roman" w:hAnsi="Times New Roman" w:cs="Times New Roman"/>
        </w:rPr>
        <w:t>2000</w:t>
      </w:r>
      <w:r>
        <w:rPr>
          <w:rFonts w:ascii="Times New Roman" w:hAnsi="Times New Roman" w:cs="Times New Roman"/>
        </w:rPr>
        <w:t>)</w:t>
      </w:r>
      <w:r w:rsidRPr="00A14CE2">
        <w:rPr>
          <w:rFonts w:ascii="Times New Roman" w:hAnsi="Times New Roman" w:cs="Times New Roman"/>
        </w:rPr>
        <w:t>.</w:t>
      </w:r>
    </w:p>
  </w:footnote>
  <w:footnote w:id="7">
    <w:p w14:paraId="09F951D3" w14:textId="1F10DB0B" w:rsidR="004318D4" w:rsidRPr="00C968D6" w:rsidRDefault="004318D4" w:rsidP="00743989">
      <w:pPr>
        <w:pStyle w:val="FootnoteText"/>
        <w:jc w:val="both"/>
        <w:rPr>
          <w:rFonts w:ascii="Times New Roman" w:hAnsi="Times New Roman" w:cs="Times New Roman"/>
          <w:i/>
        </w:rPr>
      </w:pPr>
      <w:r w:rsidRPr="00C968D6">
        <w:rPr>
          <w:rFonts w:ascii="Times New Roman" w:hAnsi="Times New Roman" w:cs="Times New Roman"/>
        </w:rPr>
        <w:footnoteRef/>
      </w:r>
      <w:r w:rsidRPr="00C968D6">
        <w:rPr>
          <w:rFonts w:ascii="Times New Roman" w:hAnsi="Times New Roman" w:cs="Times New Roman"/>
        </w:rPr>
        <w:t xml:space="preserve">  </w:t>
      </w:r>
      <w:r>
        <w:rPr>
          <w:rFonts w:ascii="Times New Roman" w:hAnsi="Times New Roman" w:cs="Times New Roman"/>
        </w:rPr>
        <w:t>Também aqui, a</w:t>
      </w:r>
      <w:r w:rsidRPr="00C968D6">
        <w:rPr>
          <w:rFonts w:ascii="Times New Roman" w:hAnsi="Times New Roman" w:cs="Times New Roman"/>
        </w:rPr>
        <w:t xml:space="preserve"> decomposição</w:t>
      </w:r>
      <w:r>
        <w:t xml:space="preserve"> </w:t>
      </w:r>
      <w:r w:rsidRPr="00C968D6">
        <w:rPr>
          <w:rFonts w:ascii="Times New Roman" w:hAnsi="Times New Roman" w:cs="Times New Roman"/>
        </w:rPr>
        <w:t>envolve a soma</w:t>
      </w:r>
      <w:r>
        <w:rPr>
          <w:rFonts w:ascii="Times New Roman" w:hAnsi="Times New Roman" w:cs="Times New Roman"/>
        </w:rPr>
        <w:t>, para fonte de renda,</w:t>
      </w:r>
      <w:r w:rsidRPr="00C968D6">
        <w:rPr>
          <w:rFonts w:ascii="Times New Roman" w:hAnsi="Times New Roman" w:cs="Times New Roman"/>
        </w:rPr>
        <w:t xml:space="preserve"> de todas as possívei</w:t>
      </w:r>
      <w:r>
        <w:rPr>
          <w:rFonts w:ascii="Times New Roman" w:hAnsi="Times New Roman" w:cs="Times New Roman"/>
        </w:rPr>
        <w:t>s</w:t>
      </w:r>
      <w:r w:rsidRPr="00C968D6">
        <w:rPr>
          <w:rFonts w:ascii="Times New Roman" w:hAnsi="Times New Roman" w:cs="Times New Roman"/>
        </w:rPr>
        <w:t xml:space="preserve"> combinações </w:t>
      </w:r>
      <w:r>
        <w:rPr>
          <w:rFonts w:ascii="Times New Roman" w:hAnsi="Times New Roman" w:cs="Times New Roman"/>
        </w:rPr>
        <w:t xml:space="preserve">(alterando-se a ordem de cada elemento) </w:t>
      </w:r>
      <w:r w:rsidRPr="00C968D6">
        <w:rPr>
          <w:rFonts w:ascii="Times New Roman" w:hAnsi="Times New Roman" w:cs="Times New Roman"/>
        </w:rPr>
        <w:t xml:space="preserve">de variações de cada um dos três componentes </w:t>
      </w:r>
      <w:r w:rsidRPr="00C968D6">
        <w:rPr>
          <w:rFonts w:ascii="Times New Roman" w:hAnsi="Times New Roman" w:cs="Times New Roman"/>
          <w:i/>
        </w:rPr>
        <w:t xml:space="preserve">C, G </w:t>
      </w:r>
      <w:r w:rsidRPr="00C968D6">
        <w:rPr>
          <w:rFonts w:ascii="Times New Roman" w:hAnsi="Times New Roman" w:cs="Times New Roman"/>
        </w:rPr>
        <w:t xml:space="preserve">e </w:t>
      </w:r>
      <w:r w:rsidRPr="00C968D6">
        <w:rPr>
          <w:rFonts w:ascii="Times New Roman" w:hAnsi="Times New Roman" w:cs="Times New Roman"/>
          <w:i/>
        </w:rPr>
        <w:sym w:font="Symbol" w:char="F061"/>
      </w:r>
      <w:r>
        <w:rPr>
          <w:rFonts w:ascii="Times New Roman" w:hAnsi="Times New Roman" w:cs="Times New Roman"/>
          <w:i/>
        </w:rPr>
        <w:t xml:space="preserve"> </w:t>
      </w:r>
      <w:r>
        <w:rPr>
          <w:rFonts w:ascii="Times New Roman" w:hAnsi="Times New Roman" w:cs="Times New Roman"/>
        </w:rPr>
        <w:t>ponderadas pela frequência d</w:t>
      </w:r>
      <w:r w:rsidRPr="00C968D6">
        <w:rPr>
          <w:rFonts w:ascii="Times New Roman" w:hAnsi="Times New Roman" w:cs="Times New Roman"/>
        </w:rPr>
        <w:t>e</w:t>
      </w:r>
      <w:r>
        <w:rPr>
          <w:rFonts w:ascii="Times New Roman" w:hAnsi="Times New Roman" w:cs="Times New Roman"/>
          <w:i/>
        </w:rPr>
        <w:t xml:space="preserve"> </w:t>
      </w:r>
      <w:r w:rsidRPr="00C968D6">
        <w:rPr>
          <w:rFonts w:ascii="Times New Roman" w:hAnsi="Times New Roman" w:cs="Times New Roman"/>
        </w:rPr>
        <w:t xml:space="preserve">ocorrência de cada </w:t>
      </w:r>
      <w:r>
        <w:rPr>
          <w:rFonts w:ascii="Times New Roman" w:hAnsi="Times New Roman" w:cs="Times New Roman"/>
        </w:rPr>
        <w:t xml:space="preserve">valor da </w:t>
      </w:r>
      <w:r w:rsidRPr="00C968D6">
        <w:rPr>
          <w:rFonts w:ascii="Times New Roman" w:hAnsi="Times New Roman" w:cs="Times New Roman"/>
        </w:rPr>
        <w:t>parcela</w:t>
      </w:r>
      <w:r>
        <w:rPr>
          <w:rFonts w:ascii="Times New Roman" w:hAnsi="Times New Roman" w:cs="Times New Roman"/>
        </w:rPr>
        <w:t xml:space="preserve">. Como novamente existem três fatores, o número de todas as possíveis combinações será 3! = 6. Para a primeira parcela, por exemplo, existem apenas duas possibilidade de combinações dos elementos que envolvem mesmo valor do produto: </w:t>
      </w:r>
      <m:oMath>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f</m:t>
            </m:r>
          </m:sub>
          <m:sup>
            <m:r>
              <w:rPr>
                <w:rFonts w:ascii="Cambria Math" w:hAnsi="Cambria Math" w:cs="Times New Roman"/>
                <w:szCs w:val="24"/>
              </w:rPr>
              <m:t>t</m:t>
            </m:r>
          </m:sup>
        </m:sSub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G</m:t>
            </m:r>
          </m:e>
          <m:sup>
            <m:r>
              <w:rPr>
                <w:rFonts w:ascii="Cambria Math" w:hAnsi="Cambria Math" w:cs="Times New Roman"/>
                <w:szCs w:val="24"/>
              </w:rPr>
              <m:t>0</m:t>
            </m:r>
          </m:sup>
        </m:sSup>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f</m:t>
            </m:r>
          </m:sub>
          <m:sup>
            <m:r>
              <w:rPr>
                <w:rFonts w:ascii="Cambria Math" w:hAnsi="Cambria Math" w:cs="Times New Roman"/>
                <w:szCs w:val="24"/>
              </w:rPr>
              <m:t>0</m:t>
            </m:r>
          </m:sup>
        </m:sSubSup>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f</m:t>
            </m:r>
          </m:sub>
          <m:sup>
            <m:r>
              <w:rPr>
                <w:rFonts w:ascii="Cambria Math" w:hAnsi="Cambria Math" w:cs="Times New Roman"/>
                <w:szCs w:val="24"/>
              </w:rPr>
              <m:t>0</m:t>
            </m:r>
          </m:sup>
        </m:sSub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G</m:t>
            </m:r>
          </m:e>
          <m:sup>
            <m:r>
              <w:rPr>
                <w:rFonts w:ascii="Cambria Math" w:hAnsi="Cambria Math" w:cs="Times New Roman"/>
                <w:szCs w:val="24"/>
              </w:rPr>
              <m:t>t0</m:t>
            </m:r>
          </m:sup>
        </m:sSup>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f</m:t>
            </m:r>
          </m:sub>
          <m:sup>
            <m:r>
              <w:rPr>
                <w:rFonts w:ascii="Cambria Math" w:hAnsi="Cambria Math" w:cs="Times New Roman"/>
                <w:szCs w:val="24"/>
              </w:rPr>
              <m:t>0</m:t>
            </m:r>
          </m:sup>
        </m:sSubSup>
      </m:oMath>
      <w:r>
        <w:rPr>
          <w:rFonts w:ascii="Times New Roman" w:eastAsiaTheme="minorEastAsia" w:hAnsi="Times New Roman" w:cs="Times New Roman"/>
          <w:szCs w:val="24"/>
        </w:rPr>
        <w:t xml:space="preserve"> = </w:t>
      </w:r>
      <m:oMath>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f</m:t>
            </m:r>
          </m:sub>
          <m:sup>
            <m:r>
              <w:rPr>
                <w:rFonts w:ascii="Cambria Math" w:hAnsi="Cambria Math" w:cs="Times New Roman"/>
                <w:szCs w:val="24"/>
              </w:rPr>
              <m:t>t</m:t>
            </m:r>
          </m:sup>
        </m:sSub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f</m:t>
            </m:r>
          </m:sub>
          <m:sup>
            <m:r>
              <w:rPr>
                <w:rFonts w:ascii="Cambria Math" w:hAnsi="Cambria Math" w:cs="Times New Roman"/>
                <w:szCs w:val="24"/>
              </w:rPr>
              <m:t>0</m:t>
            </m:r>
          </m:sup>
        </m:sSub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G</m:t>
            </m:r>
          </m:e>
          <m:sup>
            <m:r>
              <w:rPr>
                <w:rFonts w:ascii="Cambria Math" w:hAnsi="Cambria Math" w:cs="Times New Roman"/>
                <w:szCs w:val="24"/>
              </w:rPr>
              <m:t>0</m:t>
            </m:r>
          </m:sup>
        </m:sSup>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r>
          <w:rPr>
            <w:rFonts w:ascii="Cambria Math" w:hAnsi="Cambria Math" w:cs="Times New Roman"/>
            <w:szCs w:val="24"/>
          </w:rPr>
          <m:t>-</m:t>
        </m:r>
        <m:sSubSup>
          <m:sSubSupPr>
            <m:ctrlPr>
              <w:rPr>
                <w:rFonts w:ascii="Cambria Math" w:hAnsi="Cambria Math" w:cs="Times New Roman"/>
                <w:i/>
                <w:szCs w:val="24"/>
              </w:rPr>
            </m:ctrlPr>
          </m:sSubSupPr>
          <m:e>
            <m:r>
              <w:rPr>
                <w:rFonts w:ascii="Cambria Math" w:hAnsi="Cambria Math" w:cs="Times New Roman"/>
                <w:szCs w:val="24"/>
              </w:rPr>
              <m:t>C</m:t>
            </m:r>
          </m:e>
          <m:sub>
            <m:r>
              <w:rPr>
                <w:rFonts w:ascii="Cambria Math" w:hAnsi="Cambria Math" w:cs="Times New Roman"/>
                <w:szCs w:val="24"/>
              </w:rPr>
              <m:t>f</m:t>
            </m:r>
          </m:sub>
          <m:sup>
            <m:r>
              <w:rPr>
                <w:rFonts w:ascii="Cambria Math" w:hAnsi="Cambria Math" w:cs="Times New Roman"/>
                <w:szCs w:val="24"/>
              </w:rPr>
              <m:t>0</m:t>
            </m:r>
          </m:sup>
        </m:sSubSup>
        <m:sSubSup>
          <m:sSubSupPr>
            <m:ctrlPr>
              <w:rPr>
                <w:rFonts w:ascii="Cambria Math" w:hAnsi="Cambria Math" w:cs="Times New Roman"/>
                <w:i/>
                <w:szCs w:val="24"/>
              </w:rPr>
            </m:ctrlPr>
          </m:sSubSupPr>
          <m:e>
            <m:r>
              <w:rPr>
                <w:rFonts w:ascii="Cambria Math" w:hAnsi="Cambria Math" w:cs="Times New Roman"/>
                <w:szCs w:val="24"/>
              </w:rPr>
              <m:t>α</m:t>
            </m:r>
          </m:e>
          <m:sub>
            <m:r>
              <w:rPr>
                <w:rFonts w:ascii="Cambria Math" w:hAnsi="Cambria Math" w:cs="Times New Roman"/>
                <w:szCs w:val="24"/>
              </w:rPr>
              <m:t>f</m:t>
            </m:r>
          </m:sub>
          <m:sup>
            <m:r>
              <w:rPr>
                <w:rFonts w:ascii="Cambria Math" w:hAnsi="Cambria Math" w:cs="Times New Roman"/>
                <w:szCs w:val="24"/>
              </w:rPr>
              <m:t>0</m:t>
            </m:r>
          </m:sup>
        </m:sSubSup>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G</m:t>
            </m:r>
          </m:e>
          <m:sup>
            <m:r>
              <w:rPr>
                <w:rFonts w:ascii="Cambria Math" w:hAnsi="Cambria Math" w:cs="Times New Roman"/>
                <w:szCs w:val="24"/>
              </w:rPr>
              <m:t>0</m:t>
            </m:r>
          </m:sup>
        </m:sSup>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-1</m:t>
            </m:r>
          </m:sup>
        </m:sSup>
      </m:oMath>
      <w:r>
        <w:rPr>
          <w:rFonts w:ascii="Times New Roman" w:eastAsiaTheme="minorEastAsia" w:hAnsi="Times New Roman" w:cs="Times New Roman"/>
          <w:szCs w:val="24"/>
        </w:rPr>
        <w:t>, o que explica o</w:t>
      </w:r>
      <w:r w:rsidRPr="00853881">
        <w:rPr>
          <w:rFonts w:ascii="Times New Roman" w:eastAsiaTheme="minorEastAsia" w:hAnsi="Times New Roman" w:cs="Times New Roman"/>
          <w:szCs w:val="24"/>
        </w:rPr>
        <w:t xml:space="preserve"> numerador </w:t>
      </w:r>
      <w:r>
        <w:rPr>
          <w:rFonts w:ascii="Times New Roman" w:eastAsiaTheme="minorEastAsia" w:hAnsi="Times New Roman" w:cs="Times New Roman"/>
          <w:szCs w:val="24"/>
        </w:rPr>
        <w:t>do termo de ponderação igual a 2 = 2!.</w:t>
      </w:r>
    </w:p>
  </w:footnote>
  <w:footnote w:id="8">
    <w:p w14:paraId="1078B264" w14:textId="6C671FD8" w:rsidR="004318D4" w:rsidRPr="00F825A9" w:rsidRDefault="004318D4" w:rsidP="005249B3">
      <w:pPr>
        <w:pStyle w:val="FootnoteText"/>
        <w:jc w:val="both"/>
        <w:rPr>
          <w:rFonts w:ascii="Times New Roman" w:hAnsi="Times New Roman" w:cs="Times New Roman"/>
        </w:rPr>
      </w:pPr>
      <w:r w:rsidRPr="00853881">
        <w:rPr>
          <w:rStyle w:val="FootnoteReference"/>
        </w:rPr>
        <w:footnoteRef/>
      </w:r>
      <w:r w:rsidRPr="00853881">
        <w:t xml:space="preserve"> </w:t>
      </w:r>
      <w:r w:rsidRPr="00853881">
        <w:rPr>
          <w:rFonts w:ascii="Times New Roman" w:hAnsi="Times New Roman" w:cs="Times New Roman"/>
        </w:rPr>
        <w:t>Chantreuil e Trannoy (1999) e Shorrocks (1999) propõem estensões da Decomposição de Shapley o problema da associado ao princípio da independência ao proporem estuturas hieráquicas para as fontes de renda. Contudo, como argumentam Cowell Fioro (2011), tais soluções nem sempre tem apelo e interpretações econômicas claras. Estes últimos autores, na verdade, propõem uma compatibilização entre decomposições de desigualde através de font</w:t>
      </w:r>
      <w:r w:rsidR="00CC34B8" w:rsidRPr="00853881">
        <w:rPr>
          <w:rFonts w:ascii="Times New Roman" w:hAnsi="Times New Roman" w:cs="Times New Roman"/>
        </w:rPr>
        <w:t>e</w:t>
      </w:r>
      <w:r w:rsidRPr="00853881">
        <w:rPr>
          <w:rFonts w:ascii="Times New Roman" w:hAnsi="Times New Roman" w:cs="Times New Roman"/>
        </w:rPr>
        <w:t>s ou grupos de renda e aquelas utilizadas mais recentemente obtidas através de regerssões (Cowell e Fioro, 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4E1"/>
    <w:multiLevelType w:val="hybridMultilevel"/>
    <w:tmpl w:val="562EA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8B46744"/>
    <w:multiLevelType w:val="hybridMultilevel"/>
    <w:tmpl w:val="EC50829C"/>
    <w:lvl w:ilvl="0" w:tplc="3EEE7D98">
      <w:start w:val="3"/>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01CD3"/>
    <w:multiLevelType w:val="hybridMultilevel"/>
    <w:tmpl w:val="8CA048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89"/>
    <w:rsid w:val="00061240"/>
    <w:rsid w:val="0006169F"/>
    <w:rsid w:val="00065B3F"/>
    <w:rsid w:val="000A1CA7"/>
    <w:rsid w:val="000A6710"/>
    <w:rsid w:val="000C3556"/>
    <w:rsid w:val="001302FA"/>
    <w:rsid w:val="00135BC2"/>
    <w:rsid w:val="0014173E"/>
    <w:rsid w:val="00174000"/>
    <w:rsid w:val="001B4B09"/>
    <w:rsid w:val="00251BA0"/>
    <w:rsid w:val="002763E7"/>
    <w:rsid w:val="002870E5"/>
    <w:rsid w:val="002C3844"/>
    <w:rsid w:val="00311311"/>
    <w:rsid w:val="003207EA"/>
    <w:rsid w:val="00363C77"/>
    <w:rsid w:val="00373DC4"/>
    <w:rsid w:val="003B150A"/>
    <w:rsid w:val="003B166E"/>
    <w:rsid w:val="003C2712"/>
    <w:rsid w:val="003C3441"/>
    <w:rsid w:val="004318D4"/>
    <w:rsid w:val="00445E18"/>
    <w:rsid w:val="004628B7"/>
    <w:rsid w:val="004B2D03"/>
    <w:rsid w:val="00506A2E"/>
    <w:rsid w:val="005249B3"/>
    <w:rsid w:val="00543EE6"/>
    <w:rsid w:val="005817D2"/>
    <w:rsid w:val="005D1E28"/>
    <w:rsid w:val="005D7F30"/>
    <w:rsid w:val="0068248F"/>
    <w:rsid w:val="006D578D"/>
    <w:rsid w:val="006F50ED"/>
    <w:rsid w:val="00700D1A"/>
    <w:rsid w:val="00743989"/>
    <w:rsid w:val="007A2E4C"/>
    <w:rsid w:val="00847A20"/>
    <w:rsid w:val="00853881"/>
    <w:rsid w:val="0087783C"/>
    <w:rsid w:val="008A020B"/>
    <w:rsid w:val="008C49EC"/>
    <w:rsid w:val="008D13B2"/>
    <w:rsid w:val="008E781B"/>
    <w:rsid w:val="008F39EE"/>
    <w:rsid w:val="00935FAA"/>
    <w:rsid w:val="00952C79"/>
    <w:rsid w:val="009650BA"/>
    <w:rsid w:val="00985F6D"/>
    <w:rsid w:val="00997019"/>
    <w:rsid w:val="00A364C3"/>
    <w:rsid w:val="00A458B4"/>
    <w:rsid w:val="00AB1527"/>
    <w:rsid w:val="00AB333D"/>
    <w:rsid w:val="00B02FDF"/>
    <w:rsid w:val="00BB40BE"/>
    <w:rsid w:val="00BD1150"/>
    <w:rsid w:val="00C0618A"/>
    <w:rsid w:val="00CA6005"/>
    <w:rsid w:val="00CC34B8"/>
    <w:rsid w:val="00CD3623"/>
    <w:rsid w:val="00E1799E"/>
    <w:rsid w:val="00E20CB5"/>
    <w:rsid w:val="00E77622"/>
    <w:rsid w:val="00E9749D"/>
    <w:rsid w:val="00EC70BA"/>
    <w:rsid w:val="00ED6611"/>
    <w:rsid w:val="00F35552"/>
    <w:rsid w:val="00F50B5C"/>
    <w:rsid w:val="00F825A9"/>
    <w:rsid w:val="00F834F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79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989"/>
    <w:rPr>
      <w:color w:val="0000FF" w:themeColor="hyperlink"/>
      <w:u w:val="single"/>
    </w:rPr>
  </w:style>
  <w:style w:type="paragraph" w:styleId="BalloonText">
    <w:name w:val="Balloon Text"/>
    <w:basedOn w:val="Normal"/>
    <w:link w:val="BalloonTextChar"/>
    <w:uiPriority w:val="99"/>
    <w:semiHidden/>
    <w:unhideWhenUsed/>
    <w:rsid w:val="0074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89"/>
    <w:rPr>
      <w:rFonts w:ascii="Tahoma" w:hAnsi="Tahoma" w:cs="Tahoma"/>
      <w:sz w:val="16"/>
      <w:szCs w:val="16"/>
    </w:rPr>
  </w:style>
  <w:style w:type="paragraph" w:styleId="FootnoteText">
    <w:name w:val="footnote text"/>
    <w:basedOn w:val="Normal"/>
    <w:link w:val="FootnoteTextChar"/>
    <w:uiPriority w:val="99"/>
    <w:unhideWhenUsed/>
    <w:rsid w:val="00743989"/>
    <w:pPr>
      <w:spacing w:after="0" w:line="240" w:lineRule="auto"/>
    </w:pPr>
    <w:rPr>
      <w:sz w:val="20"/>
      <w:szCs w:val="20"/>
    </w:rPr>
  </w:style>
  <w:style w:type="character" w:customStyle="1" w:styleId="FootnoteTextChar">
    <w:name w:val="Footnote Text Char"/>
    <w:basedOn w:val="DefaultParagraphFont"/>
    <w:link w:val="FootnoteText"/>
    <w:uiPriority w:val="99"/>
    <w:rsid w:val="00743989"/>
    <w:rPr>
      <w:sz w:val="20"/>
      <w:szCs w:val="20"/>
    </w:rPr>
  </w:style>
  <w:style w:type="character" w:styleId="FootnoteReference">
    <w:name w:val="footnote reference"/>
    <w:basedOn w:val="DefaultParagraphFont"/>
    <w:uiPriority w:val="99"/>
    <w:unhideWhenUsed/>
    <w:rsid w:val="00743989"/>
    <w:rPr>
      <w:vertAlign w:val="superscript"/>
    </w:rPr>
  </w:style>
  <w:style w:type="paragraph" w:styleId="ListParagraph">
    <w:name w:val="List Paragraph"/>
    <w:basedOn w:val="Normal"/>
    <w:uiPriority w:val="34"/>
    <w:qFormat/>
    <w:rsid w:val="00743989"/>
    <w:pPr>
      <w:ind w:left="720"/>
      <w:contextualSpacing/>
    </w:pPr>
  </w:style>
  <w:style w:type="paragraph" w:styleId="Header">
    <w:name w:val="header"/>
    <w:basedOn w:val="Normal"/>
    <w:link w:val="HeaderChar"/>
    <w:uiPriority w:val="99"/>
    <w:unhideWhenUsed/>
    <w:rsid w:val="00CC34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34B8"/>
  </w:style>
  <w:style w:type="paragraph" w:styleId="Footer">
    <w:name w:val="footer"/>
    <w:basedOn w:val="Normal"/>
    <w:link w:val="FooterChar"/>
    <w:uiPriority w:val="99"/>
    <w:unhideWhenUsed/>
    <w:rsid w:val="00CC34B8"/>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34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989"/>
    <w:rPr>
      <w:color w:val="0000FF" w:themeColor="hyperlink"/>
      <w:u w:val="single"/>
    </w:rPr>
  </w:style>
  <w:style w:type="paragraph" w:styleId="BalloonText">
    <w:name w:val="Balloon Text"/>
    <w:basedOn w:val="Normal"/>
    <w:link w:val="BalloonTextChar"/>
    <w:uiPriority w:val="99"/>
    <w:semiHidden/>
    <w:unhideWhenUsed/>
    <w:rsid w:val="0074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989"/>
    <w:rPr>
      <w:rFonts w:ascii="Tahoma" w:hAnsi="Tahoma" w:cs="Tahoma"/>
      <w:sz w:val="16"/>
      <w:szCs w:val="16"/>
    </w:rPr>
  </w:style>
  <w:style w:type="paragraph" w:styleId="FootnoteText">
    <w:name w:val="footnote text"/>
    <w:basedOn w:val="Normal"/>
    <w:link w:val="FootnoteTextChar"/>
    <w:uiPriority w:val="99"/>
    <w:unhideWhenUsed/>
    <w:rsid w:val="00743989"/>
    <w:pPr>
      <w:spacing w:after="0" w:line="240" w:lineRule="auto"/>
    </w:pPr>
    <w:rPr>
      <w:sz w:val="20"/>
      <w:szCs w:val="20"/>
    </w:rPr>
  </w:style>
  <w:style w:type="character" w:customStyle="1" w:styleId="FootnoteTextChar">
    <w:name w:val="Footnote Text Char"/>
    <w:basedOn w:val="DefaultParagraphFont"/>
    <w:link w:val="FootnoteText"/>
    <w:uiPriority w:val="99"/>
    <w:rsid w:val="00743989"/>
    <w:rPr>
      <w:sz w:val="20"/>
      <w:szCs w:val="20"/>
    </w:rPr>
  </w:style>
  <w:style w:type="character" w:styleId="FootnoteReference">
    <w:name w:val="footnote reference"/>
    <w:basedOn w:val="DefaultParagraphFont"/>
    <w:uiPriority w:val="99"/>
    <w:unhideWhenUsed/>
    <w:rsid w:val="00743989"/>
    <w:rPr>
      <w:vertAlign w:val="superscript"/>
    </w:rPr>
  </w:style>
  <w:style w:type="paragraph" w:styleId="ListParagraph">
    <w:name w:val="List Paragraph"/>
    <w:basedOn w:val="Normal"/>
    <w:uiPriority w:val="34"/>
    <w:qFormat/>
    <w:rsid w:val="00743989"/>
    <w:pPr>
      <w:ind w:left="720"/>
      <w:contextualSpacing/>
    </w:pPr>
  </w:style>
  <w:style w:type="paragraph" w:styleId="Header">
    <w:name w:val="header"/>
    <w:basedOn w:val="Normal"/>
    <w:link w:val="HeaderChar"/>
    <w:uiPriority w:val="99"/>
    <w:unhideWhenUsed/>
    <w:rsid w:val="00CC34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34B8"/>
  </w:style>
  <w:style w:type="paragraph" w:styleId="Footer">
    <w:name w:val="footer"/>
    <w:basedOn w:val="Normal"/>
    <w:link w:val="FooterChar"/>
    <w:uiPriority w:val="99"/>
    <w:unhideWhenUsed/>
    <w:rsid w:val="00CC34B8"/>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drigo_PC\Desktop\Raul\Solicita&#231;&#227;o%20-%202a.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drigo_PC\Desktop\Raul\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drigo_PC\Desktop\Raul\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drigo\Documents\Acad&#234;mico\ARTIGOS_Rodrigo\Artigos.em.andamento\Artigo_Disserta&#231;&#227;o\Decomposi&#231;&#245;es_Final\Decomposi&#231;&#227;o%20%5b1995-201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circle"/>
            <c:size val="5"/>
            <c:spPr>
              <a:solidFill>
                <a:schemeClr val="tx1"/>
              </a:solidFill>
              <a:ln w="9525">
                <a:solidFill>
                  <a:schemeClr val="tx1"/>
                </a:solidFill>
              </a:ln>
              <a:effectLst/>
            </c:spPr>
          </c:marker>
          <c:cat>
            <c:numRef>
              <c:f>'10 anos'!$D$40:$R$40</c:f>
              <c:numCache>
                <c:formatCode>General</c:formatCode>
                <c:ptCount val="15"/>
                <c:pt idx="0">
                  <c:v>1995.0</c:v>
                </c:pt>
                <c:pt idx="1">
                  <c:v>1996.0</c:v>
                </c:pt>
                <c:pt idx="2">
                  <c:v>1997.0</c:v>
                </c:pt>
                <c:pt idx="3">
                  <c:v>1998.0</c:v>
                </c:pt>
                <c:pt idx="4">
                  <c:v>1999.0</c:v>
                </c:pt>
                <c:pt idx="5">
                  <c:v>2001.0</c:v>
                </c:pt>
                <c:pt idx="6">
                  <c:v>2002.0</c:v>
                </c:pt>
                <c:pt idx="7">
                  <c:v>2003.0</c:v>
                </c:pt>
                <c:pt idx="8">
                  <c:v>2004.0</c:v>
                </c:pt>
                <c:pt idx="9">
                  <c:v>2005.0</c:v>
                </c:pt>
                <c:pt idx="10">
                  <c:v>2006.0</c:v>
                </c:pt>
                <c:pt idx="11">
                  <c:v>2007.0</c:v>
                </c:pt>
                <c:pt idx="12">
                  <c:v>2008.0</c:v>
                </c:pt>
                <c:pt idx="13">
                  <c:v>2009.0</c:v>
                </c:pt>
                <c:pt idx="14">
                  <c:v>2011.0</c:v>
                </c:pt>
              </c:numCache>
            </c:numRef>
          </c:cat>
          <c:val>
            <c:numRef>
              <c:f>'10 anos'!$D$103:$R$103</c:f>
              <c:numCache>
                <c:formatCode>General</c:formatCode>
                <c:ptCount val="15"/>
                <c:pt idx="0">
                  <c:v>0.967890750393763</c:v>
                </c:pt>
                <c:pt idx="1">
                  <c:v>0.979365877244571</c:v>
                </c:pt>
                <c:pt idx="2">
                  <c:v>0.982345787710562</c:v>
                </c:pt>
                <c:pt idx="3">
                  <c:v>1.005073068028184</c:v>
                </c:pt>
                <c:pt idx="4">
                  <c:v>1.021039018794093</c:v>
                </c:pt>
                <c:pt idx="5">
                  <c:v>0.970546936676861</c:v>
                </c:pt>
                <c:pt idx="6">
                  <c:v>0.950926005313045</c:v>
                </c:pt>
                <c:pt idx="7">
                  <c:v>0.94276625833732</c:v>
                </c:pt>
                <c:pt idx="8">
                  <c:v>0.911066660600246</c:v>
                </c:pt>
                <c:pt idx="9">
                  <c:v>0.938708144817374</c:v>
                </c:pt>
                <c:pt idx="10">
                  <c:v>0.938708144817374</c:v>
                </c:pt>
                <c:pt idx="11">
                  <c:v>0.860322160804474</c:v>
                </c:pt>
                <c:pt idx="12">
                  <c:v>0.864183351565819</c:v>
                </c:pt>
                <c:pt idx="13">
                  <c:v>0.85245975519183</c:v>
                </c:pt>
                <c:pt idx="14">
                  <c:v>0.859150381326014</c:v>
                </c:pt>
              </c:numCache>
            </c:numRef>
          </c:val>
          <c:smooth val="0"/>
        </c:ser>
        <c:dLbls>
          <c:showLegendKey val="0"/>
          <c:showVal val="0"/>
          <c:showCatName val="0"/>
          <c:showSerName val="0"/>
          <c:showPercent val="0"/>
          <c:showBubbleSize val="0"/>
        </c:dLbls>
        <c:marker val="1"/>
        <c:smooth val="0"/>
        <c:axId val="2069744904"/>
        <c:axId val="2069756488"/>
      </c:lineChart>
      <c:catAx>
        <c:axId val="206974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756488"/>
        <c:crosses val="autoZero"/>
        <c:auto val="1"/>
        <c:lblAlgn val="ctr"/>
        <c:lblOffset val="100"/>
        <c:noMultiLvlLbl val="0"/>
      </c:catAx>
      <c:valAx>
        <c:axId val="2069756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744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1995</c:v>
          </c:tx>
          <c:spPr>
            <a:solidFill>
              <a:schemeClr val="dk1">
                <a:tint val="88500"/>
              </a:schemeClr>
            </a:solidFill>
            <a:ln>
              <a:noFill/>
            </a:ln>
            <a:effectLst/>
          </c:spPr>
          <c:invertIfNegative val="0"/>
          <c:cat>
            <c:strRef>
              <c:f>Sheet7!$M$1:$M$27</c:f>
              <c:strCache>
                <c:ptCount val="27"/>
                <c:pt idx="0">
                  <c:v>MA</c:v>
                </c:pt>
                <c:pt idx="1">
                  <c:v>AL</c:v>
                </c:pt>
                <c:pt idx="2">
                  <c:v>PI</c:v>
                </c:pt>
                <c:pt idx="3">
                  <c:v>PE</c:v>
                </c:pt>
                <c:pt idx="4">
                  <c:v>CE</c:v>
                </c:pt>
                <c:pt idx="5">
                  <c:v>PA</c:v>
                </c:pt>
                <c:pt idx="6">
                  <c:v>AM</c:v>
                </c:pt>
                <c:pt idx="7">
                  <c:v>BA</c:v>
                </c:pt>
                <c:pt idx="8">
                  <c:v>AP</c:v>
                </c:pt>
                <c:pt idx="9">
                  <c:v>PB</c:v>
                </c:pt>
                <c:pt idx="10">
                  <c:v>RN</c:v>
                </c:pt>
                <c:pt idx="11">
                  <c:v>AC</c:v>
                </c:pt>
                <c:pt idx="12">
                  <c:v>SE</c:v>
                </c:pt>
                <c:pt idx="13">
                  <c:v>TO</c:v>
                </c:pt>
                <c:pt idx="14">
                  <c:v>RO</c:v>
                </c:pt>
                <c:pt idx="15">
                  <c:v>RR</c:v>
                </c:pt>
                <c:pt idx="16">
                  <c:v>MG</c:v>
                </c:pt>
                <c:pt idx="17">
                  <c:v>GO</c:v>
                </c:pt>
                <c:pt idx="18">
                  <c:v>ES</c:v>
                </c:pt>
                <c:pt idx="19">
                  <c:v>MT</c:v>
                </c:pt>
                <c:pt idx="20">
                  <c:v>MS</c:v>
                </c:pt>
                <c:pt idx="21">
                  <c:v>PR</c:v>
                </c:pt>
                <c:pt idx="22">
                  <c:v>RS</c:v>
                </c:pt>
                <c:pt idx="23">
                  <c:v>RJ</c:v>
                </c:pt>
                <c:pt idx="24">
                  <c:v>SP</c:v>
                </c:pt>
                <c:pt idx="25">
                  <c:v>SC</c:v>
                </c:pt>
                <c:pt idx="26">
                  <c:v>DF</c:v>
                </c:pt>
              </c:strCache>
            </c:strRef>
          </c:cat>
          <c:val>
            <c:numRef>
              <c:f>Sheet7!$I$1:$I$27</c:f>
              <c:numCache>
                <c:formatCode>0,000</c:formatCode>
                <c:ptCount val="27"/>
                <c:pt idx="0">
                  <c:v>1.818978127321178</c:v>
                </c:pt>
                <c:pt idx="1">
                  <c:v>2.832769156089257</c:v>
                </c:pt>
                <c:pt idx="2">
                  <c:v>1.582113376443664</c:v>
                </c:pt>
                <c:pt idx="3">
                  <c:v>2.020127525587974</c:v>
                </c:pt>
                <c:pt idx="4">
                  <c:v>1.929586716148479</c:v>
                </c:pt>
                <c:pt idx="5">
                  <c:v>2.614543628360696</c:v>
                </c:pt>
                <c:pt idx="6">
                  <c:v>5.088804480704617</c:v>
                </c:pt>
                <c:pt idx="7">
                  <c:v>2.076182625761592</c:v>
                </c:pt>
                <c:pt idx="8">
                  <c:v>4.852344065491672</c:v>
                </c:pt>
                <c:pt idx="9">
                  <c:v>1.610799509039578</c:v>
                </c:pt>
                <c:pt idx="10">
                  <c:v>2.312938155377298</c:v>
                </c:pt>
                <c:pt idx="11">
                  <c:v>5.442374681441</c:v>
                </c:pt>
                <c:pt idx="12">
                  <c:v>2.280119697823104</c:v>
                </c:pt>
                <c:pt idx="13">
                  <c:v>2.022175966736556</c:v>
                </c:pt>
                <c:pt idx="14">
                  <c:v>5.620740958486727</c:v>
                </c:pt>
                <c:pt idx="15">
                  <c:v>5.904574468539097</c:v>
                </c:pt>
                <c:pt idx="16">
                  <c:v>3.082663063184786</c:v>
                </c:pt>
                <c:pt idx="17">
                  <c:v>2.821260417701163</c:v>
                </c:pt>
                <c:pt idx="18">
                  <c:v>4.152237947271005</c:v>
                </c:pt>
                <c:pt idx="19">
                  <c:v>3.397490095403686</c:v>
                </c:pt>
                <c:pt idx="20">
                  <c:v>3.571802166009518</c:v>
                </c:pt>
                <c:pt idx="21">
                  <c:v>4.020100473434387</c:v>
                </c:pt>
                <c:pt idx="22">
                  <c:v>4.289900136324047</c:v>
                </c:pt>
                <c:pt idx="23">
                  <c:v>4.917791470861032</c:v>
                </c:pt>
                <c:pt idx="24">
                  <c:v>5.516710238234714</c:v>
                </c:pt>
                <c:pt idx="25">
                  <c:v>4.676306877604985</c:v>
                </c:pt>
                <c:pt idx="26">
                  <c:v>9.544563974618125</c:v>
                </c:pt>
              </c:numCache>
            </c:numRef>
          </c:val>
        </c:ser>
        <c:ser>
          <c:idx val="1"/>
          <c:order val="1"/>
          <c:tx>
            <c:v>2011</c:v>
          </c:tx>
          <c:spPr>
            <a:solidFill>
              <a:schemeClr val="dk1">
                <a:tint val="55000"/>
              </a:schemeClr>
            </a:solidFill>
            <a:ln>
              <a:noFill/>
            </a:ln>
            <a:effectLst/>
          </c:spPr>
          <c:invertIfNegative val="0"/>
          <c:cat>
            <c:strRef>
              <c:f>Sheet7!$M$1:$M$27</c:f>
              <c:strCache>
                <c:ptCount val="27"/>
                <c:pt idx="0">
                  <c:v>MA</c:v>
                </c:pt>
                <c:pt idx="1">
                  <c:v>AL</c:v>
                </c:pt>
                <c:pt idx="2">
                  <c:v>PI</c:v>
                </c:pt>
                <c:pt idx="3">
                  <c:v>PE</c:v>
                </c:pt>
                <c:pt idx="4">
                  <c:v>CE</c:v>
                </c:pt>
                <c:pt idx="5">
                  <c:v>PA</c:v>
                </c:pt>
                <c:pt idx="6">
                  <c:v>AM</c:v>
                </c:pt>
                <c:pt idx="7">
                  <c:v>BA</c:v>
                </c:pt>
                <c:pt idx="8">
                  <c:v>AP</c:v>
                </c:pt>
                <c:pt idx="9">
                  <c:v>PB</c:v>
                </c:pt>
                <c:pt idx="10">
                  <c:v>RN</c:v>
                </c:pt>
                <c:pt idx="11">
                  <c:v>AC</c:v>
                </c:pt>
                <c:pt idx="12">
                  <c:v>SE</c:v>
                </c:pt>
                <c:pt idx="13">
                  <c:v>TO</c:v>
                </c:pt>
                <c:pt idx="14">
                  <c:v>RO</c:v>
                </c:pt>
                <c:pt idx="15">
                  <c:v>RR</c:v>
                </c:pt>
                <c:pt idx="16">
                  <c:v>MG</c:v>
                </c:pt>
                <c:pt idx="17">
                  <c:v>GO</c:v>
                </c:pt>
                <c:pt idx="18">
                  <c:v>ES</c:v>
                </c:pt>
                <c:pt idx="19">
                  <c:v>MT</c:v>
                </c:pt>
                <c:pt idx="20">
                  <c:v>MS</c:v>
                </c:pt>
                <c:pt idx="21">
                  <c:v>PR</c:v>
                </c:pt>
                <c:pt idx="22">
                  <c:v>RS</c:v>
                </c:pt>
                <c:pt idx="23">
                  <c:v>RJ</c:v>
                </c:pt>
                <c:pt idx="24">
                  <c:v>SP</c:v>
                </c:pt>
                <c:pt idx="25">
                  <c:v>SC</c:v>
                </c:pt>
                <c:pt idx="26">
                  <c:v>DF</c:v>
                </c:pt>
              </c:strCache>
            </c:strRef>
          </c:cat>
          <c:val>
            <c:numRef>
              <c:f>Sheet7!$F$1:$F$27</c:f>
              <c:numCache>
                <c:formatCode>0,000</c:formatCode>
                <c:ptCount val="27"/>
                <c:pt idx="0">
                  <c:v>1.990469597198328</c:v>
                </c:pt>
                <c:pt idx="1">
                  <c:v>2.064325909575119</c:v>
                </c:pt>
                <c:pt idx="2">
                  <c:v>2.317590897833741</c:v>
                </c:pt>
                <c:pt idx="3">
                  <c:v>2.476713883487567</c:v>
                </c:pt>
                <c:pt idx="4">
                  <c:v>2.533909241900222</c:v>
                </c:pt>
                <c:pt idx="5">
                  <c:v>2.599381788342971</c:v>
                </c:pt>
                <c:pt idx="6">
                  <c:v>2.608992831466865</c:v>
                </c:pt>
                <c:pt idx="7">
                  <c:v>2.700691698753096</c:v>
                </c:pt>
                <c:pt idx="8">
                  <c:v>2.724875095182633</c:v>
                </c:pt>
                <c:pt idx="9">
                  <c:v>2.910170568963149</c:v>
                </c:pt>
                <c:pt idx="10">
                  <c:v>2.978055799894759</c:v>
                </c:pt>
                <c:pt idx="11">
                  <c:v>2.992534625652045</c:v>
                </c:pt>
                <c:pt idx="12">
                  <c:v>3.073408766744931</c:v>
                </c:pt>
                <c:pt idx="13">
                  <c:v>3.166913476985304</c:v>
                </c:pt>
                <c:pt idx="14">
                  <c:v>3.562027673985913</c:v>
                </c:pt>
                <c:pt idx="15">
                  <c:v>3.860335420783023</c:v>
                </c:pt>
                <c:pt idx="16">
                  <c:v>4.048227371560236</c:v>
                </c:pt>
                <c:pt idx="17">
                  <c:v>4.18920166271318</c:v>
                </c:pt>
                <c:pt idx="18">
                  <c:v>4.270168243824796</c:v>
                </c:pt>
                <c:pt idx="19">
                  <c:v>4.292296753014435</c:v>
                </c:pt>
                <c:pt idx="20">
                  <c:v>4.740289359552984</c:v>
                </c:pt>
                <c:pt idx="21">
                  <c:v>4.753481637755454</c:v>
                </c:pt>
                <c:pt idx="22">
                  <c:v>4.933059424495088</c:v>
                </c:pt>
                <c:pt idx="23">
                  <c:v>4.94862632364931</c:v>
                </c:pt>
                <c:pt idx="24">
                  <c:v>5.293190512054355</c:v>
                </c:pt>
                <c:pt idx="25">
                  <c:v>5.347027578963006</c:v>
                </c:pt>
                <c:pt idx="26">
                  <c:v>8.624033855667471</c:v>
                </c:pt>
              </c:numCache>
            </c:numRef>
          </c:val>
        </c:ser>
        <c:dLbls>
          <c:showLegendKey val="0"/>
          <c:showVal val="0"/>
          <c:showCatName val="0"/>
          <c:showSerName val="0"/>
          <c:showPercent val="0"/>
          <c:showBubbleSize val="0"/>
        </c:dLbls>
        <c:gapWidth val="75"/>
        <c:overlap val="-25"/>
        <c:axId val="2069838648"/>
        <c:axId val="2069842344"/>
      </c:barChart>
      <c:catAx>
        <c:axId val="2069838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42344"/>
        <c:crosses val="autoZero"/>
        <c:auto val="1"/>
        <c:lblAlgn val="ctr"/>
        <c:lblOffset val="100"/>
        <c:noMultiLvlLbl val="0"/>
      </c:catAx>
      <c:valAx>
        <c:axId val="206984234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38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1995</c:v>
          </c:tx>
          <c:spPr>
            <a:solidFill>
              <a:schemeClr val="dk1">
                <a:tint val="88500"/>
              </a:schemeClr>
            </a:solidFill>
            <a:ln>
              <a:noFill/>
            </a:ln>
            <a:effectLst/>
          </c:spPr>
          <c:invertIfNegative val="0"/>
          <c:cat>
            <c:strRef>
              <c:f>Sheet7!$M$1:$M$27</c:f>
              <c:strCache>
                <c:ptCount val="27"/>
                <c:pt idx="0">
                  <c:v>MA</c:v>
                </c:pt>
                <c:pt idx="1">
                  <c:v>AL</c:v>
                </c:pt>
                <c:pt idx="2">
                  <c:v>PI</c:v>
                </c:pt>
                <c:pt idx="3">
                  <c:v>PE</c:v>
                </c:pt>
                <c:pt idx="4">
                  <c:v>CE</c:v>
                </c:pt>
                <c:pt idx="5">
                  <c:v>PA</c:v>
                </c:pt>
                <c:pt idx="6">
                  <c:v>AM</c:v>
                </c:pt>
                <c:pt idx="7">
                  <c:v>BA</c:v>
                </c:pt>
                <c:pt idx="8">
                  <c:v>AP</c:v>
                </c:pt>
                <c:pt idx="9">
                  <c:v>PB</c:v>
                </c:pt>
                <c:pt idx="10">
                  <c:v>RN</c:v>
                </c:pt>
                <c:pt idx="11">
                  <c:v>AC</c:v>
                </c:pt>
                <c:pt idx="12">
                  <c:v>SE</c:v>
                </c:pt>
                <c:pt idx="13">
                  <c:v>TO</c:v>
                </c:pt>
                <c:pt idx="14">
                  <c:v>RO</c:v>
                </c:pt>
                <c:pt idx="15">
                  <c:v>RR</c:v>
                </c:pt>
                <c:pt idx="16">
                  <c:v>MG</c:v>
                </c:pt>
                <c:pt idx="17">
                  <c:v>GO</c:v>
                </c:pt>
                <c:pt idx="18">
                  <c:v>ES</c:v>
                </c:pt>
                <c:pt idx="19">
                  <c:v>MT</c:v>
                </c:pt>
                <c:pt idx="20">
                  <c:v>MS</c:v>
                </c:pt>
                <c:pt idx="21">
                  <c:v>PR</c:v>
                </c:pt>
                <c:pt idx="22">
                  <c:v>RS</c:v>
                </c:pt>
                <c:pt idx="23">
                  <c:v>RJ</c:v>
                </c:pt>
                <c:pt idx="24">
                  <c:v>SP</c:v>
                </c:pt>
                <c:pt idx="25">
                  <c:v>SC</c:v>
                </c:pt>
                <c:pt idx="26">
                  <c:v>DF</c:v>
                </c:pt>
              </c:strCache>
            </c:strRef>
          </c:cat>
          <c:val>
            <c:numRef>
              <c:f>Sheet7!$R$1:$R$27</c:f>
              <c:numCache>
                <c:formatCode>0,000</c:formatCode>
                <c:ptCount val="27"/>
                <c:pt idx="0">
                  <c:v>0.779237944357254</c:v>
                </c:pt>
                <c:pt idx="1">
                  <c:v>2.150940357827696</c:v>
                </c:pt>
                <c:pt idx="2">
                  <c:v>1.207903648155288</c:v>
                </c:pt>
                <c:pt idx="3">
                  <c:v>2.157960471349063</c:v>
                </c:pt>
                <c:pt idx="4">
                  <c:v>2.143733660305823</c:v>
                </c:pt>
                <c:pt idx="5">
                  <c:v>2.902026806022291</c:v>
                </c:pt>
                <c:pt idx="6">
                  <c:v>2.560757661247902</c:v>
                </c:pt>
                <c:pt idx="7">
                  <c:v>1.64018373807767</c:v>
                </c:pt>
                <c:pt idx="8">
                  <c:v>3.612382755289633</c:v>
                </c:pt>
                <c:pt idx="9">
                  <c:v>3.320357770949133</c:v>
                </c:pt>
                <c:pt idx="10">
                  <c:v>2.496028780734499</c:v>
                </c:pt>
                <c:pt idx="11">
                  <c:v>6.995520348530925</c:v>
                </c:pt>
                <c:pt idx="12">
                  <c:v>1.366948550971176</c:v>
                </c:pt>
                <c:pt idx="13">
                  <c:v>2.138015254881878</c:v>
                </c:pt>
                <c:pt idx="14">
                  <c:v>4.742072667984185</c:v>
                </c:pt>
                <c:pt idx="15">
                  <c:v>1.127571790097263</c:v>
                </c:pt>
                <c:pt idx="16">
                  <c:v>3.536661186408418</c:v>
                </c:pt>
                <c:pt idx="17">
                  <c:v>2.52409784706407</c:v>
                </c:pt>
                <c:pt idx="18">
                  <c:v>3.241127897269681</c:v>
                </c:pt>
                <c:pt idx="19">
                  <c:v>3.292960582217626</c:v>
                </c:pt>
                <c:pt idx="20">
                  <c:v>3.639355093127968</c:v>
                </c:pt>
                <c:pt idx="21">
                  <c:v>5.053328068113875</c:v>
                </c:pt>
                <c:pt idx="22">
                  <c:v>5.255791856230493</c:v>
                </c:pt>
                <c:pt idx="23">
                  <c:v>7.280177454804513</c:v>
                </c:pt>
                <c:pt idx="24">
                  <c:v>7.855761064964923</c:v>
                </c:pt>
                <c:pt idx="25">
                  <c:v>4.703288599334503</c:v>
                </c:pt>
                <c:pt idx="26">
                  <c:v>12.27580814368225</c:v>
                </c:pt>
              </c:numCache>
            </c:numRef>
          </c:val>
        </c:ser>
        <c:ser>
          <c:idx val="1"/>
          <c:order val="1"/>
          <c:tx>
            <c:v>2011</c:v>
          </c:tx>
          <c:spPr>
            <a:solidFill>
              <a:schemeClr val="dk1">
                <a:tint val="55000"/>
              </a:schemeClr>
            </a:solidFill>
            <a:ln>
              <a:noFill/>
            </a:ln>
            <a:effectLst/>
          </c:spPr>
          <c:invertIfNegative val="0"/>
          <c:cat>
            <c:strRef>
              <c:f>Sheet7!$M$1:$M$27</c:f>
              <c:strCache>
                <c:ptCount val="27"/>
                <c:pt idx="0">
                  <c:v>MA</c:v>
                </c:pt>
                <c:pt idx="1">
                  <c:v>AL</c:v>
                </c:pt>
                <c:pt idx="2">
                  <c:v>PI</c:v>
                </c:pt>
                <c:pt idx="3">
                  <c:v>PE</c:v>
                </c:pt>
                <c:pt idx="4">
                  <c:v>CE</c:v>
                </c:pt>
                <c:pt idx="5">
                  <c:v>PA</c:v>
                </c:pt>
                <c:pt idx="6">
                  <c:v>AM</c:v>
                </c:pt>
                <c:pt idx="7">
                  <c:v>BA</c:v>
                </c:pt>
                <c:pt idx="8">
                  <c:v>AP</c:v>
                </c:pt>
                <c:pt idx="9">
                  <c:v>PB</c:v>
                </c:pt>
                <c:pt idx="10">
                  <c:v>RN</c:v>
                </c:pt>
                <c:pt idx="11">
                  <c:v>AC</c:v>
                </c:pt>
                <c:pt idx="12">
                  <c:v>SE</c:v>
                </c:pt>
                <c:pt idx="13">
                  <c:v>TO</c:v>
                </c:pt>
                <c:pt idx="14">
                  <c:v>RO</c:v>
                </c:pt>
                <c:pt idx="15">
                  <c:v>RR</c:v>
                </c:pt>
                <c:pt idx="16">
                  <c:v>MG</c:v>
                </c:pt>
                <c:pt idx="17">
                  <c:v>GO</c:v>
                </c:pt>
                <c:pt idx="18">
                  <c:v>ES</c:v>
                </c:pt>
                <c:pt idx="19">
                  <c:v>MT</c:v>
                </c:pt>
                <c:pt idx="20">
                  <c:v>MS</c:v>
                </c:pt>
                <c:pt idx="21">
                  <c:v>PR</c:v>
                </c:pt>
                <c:pt idx="22">
                  <c:v>RS</c:v>
                </c:pt>
                <c:pt idx="23">
                  <c:v>RJ</c:v>
                </c:pt>
                <c:pt idx="24">
                  <c:v>SP</c:v>
                </c:pt>
                <c:pt idx="25">
                  <c:v>SC</c:v>
                </c:pt>
                <c:pt idx="26">
                  <c:v>DF</c:v>
                </c:pt>
              </c:strCache>
            </c:strRef>
          </c:cat>
          <c:val>
            <c:numRef>
              <c:f>Sheet7!$P$1:$P$27</c:f>
              <c:numCache>
                <c:formatCode>0,000</c:formatCode>
                <c:ptCount val="27"/>
                <c:pt idx="0">
                  <c:v>1.21911021125783</c:v>
                </c:pt>
                <c:pt idx="1">
                  <c:v>1.239566321209276</c:v>
                </c:pt>
                <c:pt idx="2">
                  <c:v>1.680926076759614</c:v>
                </c:pt>
                <c:pt idx="3">
                  <c:v>1.999047148756368</c:v>
                </c:pt>
                <c:pt idx="4">
                  <c:v>1.842500590212776</c:v>
                </c:pt>
                <c:pt idx="5">
                  <c:v>1.738485425515854</c:v>
                </c:pt>
                <c:pt idx="6">
                  <c:v>2.348704487183765</c:v>
                </c:pt>
                <c:pt idx="7">
                  <c:v>2.398931836693432</c:v>
                </c:pt>
                <c:pt idx="8">
                  <c:v>2.073914518516205</c:v>
                </c:pt>
                <c:pt idx="9">
                  <c:v>3.083994664830102</c:v>
                </c:pt>
                <c:pt idx="10">
                  <c:v>2.938271576975209</c:v>
                </c:pt>
                <c:pt idx="11">
                  <c:v>2.74960184709007</c:v>
                </c:pt>
                <c:pt idx="12">
                  <c:v>2.578641394156893</c:v>
                </c:pt>
                <c:pt idx="13">
                  <c:v>2.781552532842953</c:v>
                </c:pt>
                <c:pt idx="14">
                  <c:v>2.646632489751786</c:v>
                </c:pt>
                <c:pt idx="15">
                  <c:v>3.674657945928451</c:v>
                </c:pt>
                <c:pt idx="16">
                  <c:v>3.453361205219085</c:v>
                </c:pt>
                <c:pt idx="17">
                  <c:v>3.86329817169974</c:v>
                </c:pt>
                <c:pt idx="18">
                  <c:v>3.490268582098853</c:v>
                </c:pt>
                <c:pt idx="19">
                  <c:v>3.865179626344515</c:v>
                </c:pt>
                <c:pt idx="20">
                  <c:v>5.503565763935575</c:v>
                </c:pt>
                <c:pt idx="21">
                  <c:v>4.483308967890472</c:v>
                </c:pt>
                <c:pt idx="22">
                  <c:v>4.373197345453148</c:v>
                </c:pt>
                <c:pt idx="23">
                  <c:v>5.93232862460008</c:v>
                </c:pt>
                <c:pt idx="24">
                  <c:v>6.41734221309419</c:v>
                </c:pt>
                <c:pt idx="25">
                  <c:v>5.058328260006387</c:v>
                </c:pt>
                <c:pt idx="26">
                  <c:v>16.56528217197733</c:v>
                </c:pt>
              </c:numCache>
            </c:numRef>
          </c:val>
        </c:ser>
        <c:dLbls>
          <c:showLegendKey val="0"/>
          <c:showVal val="0"/>
          <c:showCatName val="0"/>
          <c:showSerName val="0"/>
          <c:showPercent val="0"/>
          <c:showBubbleSize val="0"/>
        </c:dLbls>
        <c:gapWidth val="75"/>
        <c:overlap val="-25"/>
        <c:axId val="2069025336"/>
        <c:axId val="2069021640"/>
      </c:barChart>
      <c:catAx>
        <c:axId val="206902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021640"/>
        <c:crosses val="autoZero"/>
        <c:auto val="1"/>
        <c:lblAlgn val="ctr"/>
        <c:lblOffset val="100"/>
        <c:noMultiLvlLbl val="0"/>
      </c:catAx>
      <c:valAx>
        <c:axId val="206902164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025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6861026057716"/>
          <c:y val="0.0563962278967174"/>
          <c:w val="0.858487937547485"/>
          <c:h val="0.77336169442863"/>
        </c:manualLayout>
      </c:layout>
      <c:lineChart>
        <c:grouping val="standard"/>
        <c:varyColors val="0"/>
        <c:ser>
          <c:idx val="0"/>
          <c:order val="0"/>
          <c:tx>
            <c:v>Escol1</c:v>
          </c:tx>
          <c:spPr>
            <a:ln w="28575"/>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hist'!$B$5:$O$5</c:f>
              <c:numCache>
                <c:formatCode>General</c:formatCode>
                <c:ptCount val="14"/>
                <c:pt idx="0" formatCode="0.0000000">
                  <c:v>0.1335551</c:v>
                </c:pt>
                <c:pt idx="1">
                  <c:v>0.1102436</c:v>
                </c:pt>
                <c:pt idx="2">
                  <c:v>0.1051675</c:v>
                </c:pt>
                <c:pt idx="3">
                  <c:v>0.1002826</c:v>
                </c:pt>
                <c:pt idx="4">
                  <c:v>0.0966080000000002</c:v>
                </c:pt>
                <c:pt idx="5">
                  <c:v>0.0870312</c:v>
                </c:pt>
                <c:pt idx="6">
                  <c:v>0.0849610000000002</c:v>
                </c:pt>
                <c:pt idx="7">
                  <c:v>0.0856149000000005</c:v>
                </c:pt>
                <c:pt idx="8">
                  <c:v>0.0815323000000002</c:v>
                </c:pt>
                <c:pt idx="9">
                  <c:v>0.0725393000000001</c:v>
                </c:pt>
                <c:pt idx="10">
                  <c:v>0.0703429000000003</c:v>
                </c:pt>
                <c:pt idx="11">
                  <c:v>0.0703429000000003</c:v>
                </c:pt>
                <c:pt idx="12">
                  <c:v>0.0634529000000003</c:v>
                </c:pt>
                <c:pt idx="13" formatCode="0.0000000">
                  <c:v>0.0693173000000004</c:v>
                </c:pt>
              </c:numCache>
            </c:numRef>
          </c:val>
          <c:smooth val="0"/>
        </c:ser>
        <c:ser>
          <c:idx val="1"/>
          <c:order val="1"/>
          <c:tx>
            <c:v>Escol2</c:v>
          </c:tx>
          <c:spPr>
            <a:ln w="28575"/>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hist'!$B$6:$O$6</c:f>
              <c:numCache>
                <c:formatCode>General</c:formatCode>
                <c:ptCount val="14"/>
                <c:pt idx="0" formatCode="0.0000000">
                  <c:v>0.1822759</c:v>
                </c:pt>
                <c:pt idx="1">
                  <c:v>0.1700231</c:v>
                </c:pt>
                <c:pt idx="2">
                  <c:v>0.1582718</c:v>
                </c:pt>
                <c:pt idx="3">
                  <c:v>0.151293200000001</c:v>
                </c:pt>
                <c:pt idx="4">
                  <c:v>0.1418762</c:v>
                </c:pt>
                <c:pt idx="5">
                  <c:v>0.1424212</c:v>
                </c:pt>
                <c:pt idx="6">
                  <c:v>0.1343355</c:v>
                </c:pt>
                <c:pt idx="7">
                  <c:v>0.1351536</c:v>
                </c:pt>
                <c:pt idx="8">
                  <c:v>0.1284824</c:v>
                </c:pt>
                <c:pt idx="9">
                  <c:v>0.1221276</c:v>
                </c:pt>
                <c:pt idx="10">
                  <c:v>0.117275100000001</c:v>
                </c:pt>
                <c:pt idx="11">
                  <c:v>0.117275100000001</c:v>
                </c:pt>
                <c:pt idx="12">
                  <c:v>0.106726600000001</c:v>
                </c:pt>
                <c:pt idx="13" formatCode="0.0000000">
                  <c:v>0.0974931</c:v>
                </c:pt>
              </c:numCache>
            </c:numRef>
          </c:val>
          <c:smooth val="0"/>
        </c:ser>
        <c:ser>
          <c:idx val="2"/>
          <c:order val="2"/>
          <c:tx>
            <c:v>Escol3</c:v>
          </c:tx>
          <c:spPr>
            <a:ln w="28575"/>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hist'!$B$7:$O$7</c:f>
              <c:numCache>
                <c:formatCode>General</c:formatCode>
                <c:ptCount val="14"/>
                <c:pt idx="0" formatCode="0.0000000">
                  <c:v>0.106948</c:v>
                </c:pt>
                <c:pt idx="1">
                  <c:v>0.109531</c:v>
                </c:pt>
                <c:pt idx="2">
                  <c:v>0.1083942</c:v>
                </c:pt>
                <c:pt idx="3">
                  <c:v>0.1048873</c:v>
                </c:pt>
                <c:pt idx="4">
                  <c:v>0.1032462</c:v>
                </c:pt>
                <c:pt idx="5">
                  <c:v>0.0997215000000005</c:v>
                </c:pt>
                <c:pt idx="6">
                  <c:v>0.1001829</c:v>
                </c:pt>
                <c:pt idx="7">
                  <c:v>0.0964213000000002</c:v>
                </c:pt>
                <c:pt idx="8">
                  <c:v>0.0922503900000004</c:v>
                </c:pt>
                <c:pt idx="9">
                  <c:v>0.0931899</c:v>
                </c:pt>
                <c:pt idx="10">
                  <c:v>0.097486</c:v>
                </c:pt>
                <c:pt idx="11">
                  <c:v>0.097486</c:v>
                </c:pt>
                <c:pt idx="12">
                  <c:v>0.0863514</c:v>
                </c:pt>
                <c:pt idx="13" formatCode="0.0000000">
                  <c:v>0.0941849000000002</c:v>
                </c:pt>
              </c:numCache>
            </c:numRef>
          </c:val>
          <c:smooth val="0"/>
        </c:ser>
        <c:ser>
          <c:idx val="3"/>
          <c:order val="3"/>
          <c:tx>
            <c:v>Escol4</c:v>
          </c:tx>
          <c:spPr>
            <a:ln w="28575">
              <a:solidFill>
                <a:schemeClr val="tx2">
                  <a:lumMod val="50000"/>
                </a:schemeClr>
              </a:solidFill>
            </a:ln>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hist'!$B$8:$O$8</c:f>
              <c:numCache>
                <c:formatCode>General</c:formatCode>
                <c:ptCount val="14"/>
                <c:pt idx="0" formatCode="0.0000000">
                  <c:v>0.2247599</c:v>
                </c:pt>
                <c:pt idx="1">
                  <c:v>0.2448605</c:v>
                </c:pt>
                <c:pt idx="2">
                  <c:v>0.228745600000001</c:v>
                </c:pt>
                <c:pt idx="3">
                  <c:v>0.237204400000001</c:v>
                </c:pt>
                <c:pt idx="4">
                  <c:v>0.2444315</c:v>
                </c:pt>
                <c:pt idx="5">
                  <c:v>0.2527164</c:v>
                </c:pt>
                <c:pt idx="6">
                  <c:v>0.2548371</c:v>
                </c:pt>
                <c:pt idx="7">
                  <c:v>0.2512563</c:v>
                </c:pt>
                <c:pt idx="8">
                  <c:v>0.2596045</c:v>
                </c:pt>
                <c:pt idx="9">
                  <c:v>0.2632601</c:v>
                </c:pt>
                <c:pt idx="10">
                  <c:v>0.2573637</c:v>
                </c:pt>
                <c:pt idx="11">
                  <c:v>0.2573637</c:v>
                </c:pt>
                <c:pt idx="12">
                  <c:v>0.2693965</c:v>
                </c:pt>
                <c:pt idx="13" formatCode="0.0000000">
                  <c:v>0.2765237</c:v>
                </c:pt>
              </c:numCache>
            </c:numRef>
          </c:val>
          <c:smooth val="0"/>
        </c:ser>
        <c:ser>
          <c:idx val="4"/>
          <c:order val="4"/>
          <c:tx>
            <c:v>Escol5</c:v>
          </c:tx>
          <c:spPr>
            <a:ln w="28575">
              <a:solidFill>
                <a:schemeClr val="accent5">
                  <a:lumMod val="60000"/>
                  <a:lumOff val="40000"/>
                </a:schemeClr>
              </a:solidFill>
            </a:ln>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hist'!$B$9:$O$9</c:f>
              <c:numCache>
                <c:formatCode>General</c:formatCode>
                <c:ptCount val="14"/>
                <c:pt idx="0" formatCode="0.0000000">
                  <c:v>0.185589900000001</c:v>
                </c:pt>
                <c:pt idx="1">
                  <c:v>0.1928948</c:v>
                </c:pt>
                <c:pt idx="2">
                  <c:v>0.2061556</c:v>
                </c:pt>
                <c:pt idx="3">
                  <c:v>0.2087743</c:v>
                </c:pt>
                <c:pt idx="4">
                  <c:v>0.2043363</c:v>
                </c:pt>
                <c:pt idx="5">
                  <c:v>0.206043900000001</c:v>
                </c:pt>
                <c:pt idx="6">
                  <c:v>0.207501</c:v>
                </c:pt>
                <c:pt idx="7">
                  <c:v>0.209192</c:v>
                </c:pt>
                <c:pt idx="8">
                  <c:v>0.210364200000001</c:v>
                </c:pt>
                <c:pt idx="9">
                  <c:v>0.218411400000001</c:v>
                </c:pt>
                <c:pt idx="10">
                  <c:v>0.234543300000001</c:v>
                </c:pt>
                <c:pt idx="11">
                  <c:v>0.234543300000001</c:v>
                </c:pt>
                <c:pt idx="12">
                  <c:v>0.245134</c:v>
                </c:pt>
                <c:pt idx="13" formatCode="0.0000000">
                  <c:v>0.2395918</c:v>
                </c:pt>
              </c:numCache>
            </c:numRef>
          </c:val>
          <c:smooth val="0"/>
        </c:ser>
        <c:ser>
          <c:idx val="5"/>
          <c:order val="5"/>
          <c:tx>
            <c:v>APP</c:v>
          </c:tx>
          <c:spPr>
            <a:ln w="28575">
              <a:solidFill>
                <a:schemeClr val="accent4">
                  <a:lumMod val="75000"/>
                </a:schemeClr>
              </a:solidFill>
            </a:ln>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hist'!$B$10:$O$10</c:f>
              <c:numCache>
                <c:formatCode>General</c:formatCode>
                <c:ptCount val="14"/>
                <c:pt idx="0" formatCode="0.0000000">
                  <c:v>0.135934400000001</c:v>
                </c:pt>
                <c:pt idx="1">
                  <c:v>0.1397045</c:v>
                </c:pt>
                <c:pt idx="2">
                  <c:v>0.1615346</c:v>
                </c:pt>
                <c:pt idx="3">
                  <c:v>0.165403300000001</c:v>
                </c:pt>
                <c:pt idx="4">
                  <c:v>0.1748803</c:v>
                </c:pt>
                <c:pt idx="5">
                  <c:v>0.1753561</c:v>
                </c:pt>
                <c:pt idx="6">
                  <c:v>0.1830028</c:v>
                </c:pt>
                <c:pt idx="7">
                  <c:v>0.180146200000001</c:v>
                </c:pt>
                <c:pt idx="8">
                  <c:v>0.1834805</c:v>
                </c:pt>
                <c:pt idx="9">
                  <c:v>0.1794786</c:v>
                </c:pt>
                <c:pt idx="10">
                  <c:v>0.181095100000001</c:v>
                </c:pt>
                <c:pt idx="11">
                  <c:v>0.181095100000001</c:v>
                </c:pt>
                <c:pt idx="12">
                  <c:v>0.184985000000001</c:v>
                </c:pt>
                <c:pt idx="13" formatCode="0.0000000">
                  <c:v>0.183452200000001</c:v>
                </c:pt>
              </c:numCache>
            </c:numRef>
          </c:val>
          <c:smooth val="0"/>
        </c:ser>
        <c:ser>
          <c:idx val="6"/>
          <c:order val="6"/>
          <c:tx>
            <c:v>Cap</c:v>
          </c:tx>
          <c:spPr>
            <a:ln w="28575">
              <a:solidFill>
                <a:schemeClr val="accent2">
                  <a:lumMod val="50000"/>
                </a:schemeClr>
              </a:solidFill>
            </a:ln>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hist'!$B$13:$O$13</c:f>
              <c:numCache>
                <c:formatCode>General</c:formatCode>
                <c:ptCount val="14"/>
                <c:pt idx="0" formatCode="0.0000000">
                  <c:v>0.00698130000000005</c:v>
                </c:pt>
                <c:pt idx="1">
                  <c:v>0.00641950000000003</c:v>
                </c:pt>
                <c:pt idx="2">
                  <c:v>0.00627060000000004</c:v>
                </c:pt>
                <c:pt idx="3">
                  <c:v>0.00656430000000001</c:v>
                </c:pt>
                <c:pt idx="4">
                  <c:v>0.0092399</c:v>
                </c:pt>
                <c:pt idx="5">
                  <c:v>0.0107553</c:v>
                </c:pt>
                <c:pt idx="6">
                  <c:v>0.00538040000000001</c:v>
                </c:pt>
                <c:pt idx="7">
                  <c:v>0.00622570000000002</c:v>
                </c:pt>
                <c:pt idx="8">
                  <c:v>0.00720400000000002</c:v>
                </c:pt>
                <c:pt idx="9">
                  <c:v>0.00747210000000004</c:v>
                </c:pt>
                <c:pt idx="10">
                  <c:v>0.0061531</c:v>
                </c:pt>
                <c:pt idx="11">
                  <c:v>0.0043022</c:v>
                </c:pt>
                <c:pt idx="12">
                  <c:v>0.00313250000000001</c:v>
                </c:pt>
                <c:pt idx="13" formatCode="0.0000000">
                  <c:v>0.00504500000000001</c:v>
                </c:pt>
              </c:numCache>
            </c:numRef>
          </c:val>
          <c:smooth val="0"/>
        </c:ser>
        <c:ser>
          <c:idx val="7"/>
          <c:order val="7"/>
          <c:tx>
            <c:v>AADO</c:v>
          </c:tx>
          <c:spPr>
            <a:ln w="28575">
              <a:solidFill>
                <a:schemeClr val="accent6">
                  <a:lumMod val="75000"/>
                </a:schemeClr>
              </a:solidFill>
            </a:ln>
          </c:spPr>
          <c:marker>
            <c:symbol val="none"/>
          </c:marker>
          <c:cat>
            <c:numRef>
              <c:f>'serie hist'!$B$4:$O$4</c:f>
              <c:numCache>
                <c:formatCode>General</c:formatCode>
                <c:ptCount val="14"/>
                <c:pt idx="0">
                  <c:v>1995.0</c:v>
                </c:pt>
                <c:pt idx="1">
                  <c:v>1997.0</c:v>
                </c:pt>
                <c:pt idx="2">
                  <c:v>1998.0</c:v>
                </c:pt>
                <c:pt idx="3">
                  <c:v>1999.0</c:v>
                </c:pt>
                <c:pt idx="4">
                  <c:v>2001.0</c:v>
                </c:pt>
                <c:pt idx="5">
                  <c:v>2002.0</c:v>
                </c:pt>
                <c:pt idx="6">
                  <c:v>2003.0</c:v>
                </c:pt>
                <c:pt idx="7">
                  <c:v>2004.0</c:v>
                </c:pt>
                <c:pt idx="8">
                  <c:v>2005.0</c:v>
                </c:pt>
                <c:pt idx="9">
                  <c:v>2006.0</c:v>
                </c:pt>
                <c:pt idx="10">
                  <c:v>2007.0</c:v>
                </c:pt>
                <c:pt idx="11">
                  <c:v>2008.0</c:v>
                </c:pt>
                <c:pt idx="12">
                  <c:v>2009.0</c:v>
                </c:pt>
                <c:pt idx="13">
                  <c:v>2011.0</c:v>
                </c:pt>
              </c:numCache>
            </c:numRef>
          </c:cat>
          <c:val>
            <c:numRef>
              <c:f>'serie hist'!$B$14:$O$14</c:f>
              <c:numCache>
                <c:formatCode>General</c:formatCode>
                <c:ptCount val="14"/>
                <c:pt idx="0" formatCode="0.0000000">
                  <c:v>0.0239554</c:v>
                </c:pt>
                <c:pt idx="1">
                  <c:v>0.0263231</c:v>
                </c:pt>
                <c:pt idx="2">
                  <c:v>0.02546</c:v>
                </c:pt>
                <c:pt idx="3">
                  <c:v>0.0255906</c:v>
                </c:pt>
                <c:pt idx="4">
                  <c:v>0.0253289</c:v>
                </c:pt>
                <c:pt idx="5">
                  <c:v>0.0259545</c:v>
                </c:pt>
                <c:pt idx="6">
                  <c:v>0.023731</c:v>
                </c:pt>
                <c:pt idx="7">
                  <c:v>0.0236554</c:v>
                </c:pt>
                <c:pt idx="8">
                  <c:v>0.0240809000000001</c:v>
                </c:pt>
                <c:pt idx="9">
                  <c:v>0.0251866</c:v>
                </c:pt>
                <c:pt idx="10">
                  <c:v>0.0210308000000001</c:v>
                </c:pt>
                <c:pt idx="11">
                  <c:v>0.0210308000000001</c:v>
                </c:pt>
                <c:pt idx="12">
                  <c:v>0.0225513000000002</c:v>
                </c:pt>
                <c:pt idx="13" formatCode="0.0000000">
                  <c:v>0.014159</c:v>
                </c:pt>
              </c:numCache>
            </c:numRef>
          </c:val>
          <c:smooth val="0"/>
        </c:ser>
        <c:ser>
          <c:idx val="8"/>
          <c:order val="8"/>
          <c:tx>
            <c:v>BPC</c:v>
          </c:tx>
          <c:spPr>
            <a:ln w="28575">
              <a:solidFill>
                <a:srgbClr val="00FFFF"/>
              </a:solidFill>
            </a:ln>
          </c:spPr>
          <c:marker>
            <c:symbol val="none"/>
          </c:marker>
          <c:val>
            <c:numRef>
              <c:f>'serie hist'!$B$11:$O$11</c:f>
              <c:numCache>
                <c:formatCode>General</c:formatCode>
                <c:ptCount val="14"/>
                <c:pt idx="0" formatCode="0.0000000">
                  <c:v>0.0</c:v>
                </c:pt>
                <c:pt idx="1">
                  <c:v>0.0</c:v>
                </c:pt>
                <c:pt idx="2">
                  <c:v>0.0</c:v>
                </c:pt>
                <c:pt idx="3">
                  <c:v>0.0</c:v>
                </c:pt>
                <c:pt idx="4">
                  <c:v>0.0</c:v>
                </c:pt>
                <c:pt idx="5">
                  <c:v>0.0</c:v>
                </c:pt>
                <c:pt idx="6">
                  <c:v>0.0011336</c:v>
                </c:pt>
                <c:pt idx="7">
                  <c:v>0.0041911</c:v>
                </c:pt>
                <c:pt idx="8">
                  <c:v>0.00567850000000001</c:v>
                </c:pt>
                <c:pt idx="9">
                  <c:v>0.00798670000000005</c:v>
                </c:pt>
                <c:pt idx="10">
                  <c:v>0.00648200000000003</c:v>
                </c:pt>
                <c:pt idx="11">
                  <c:v>0.00762560000000002</c:v>
                </c:pt>
                <c:pt idx="12">
                  <c:v>0.0080346</c:v>
                </c:pt>
                <c:pt idx="13" formatCode="0.0000000">
                  <c:v>0.00726910000000003</c:v>
                </c:pt>
              </c:numCache>
            </c:numRef>
          </c:val>
          <c:smooth val="0"/>
        </c:ser>
        <c:ser>
          <c:idx val="9"/>
          <c:order val="9"/>
          <c:tx>
            <c:v>BF</c:v>
          </c:tx>
          <c:spPr>
            <a:ln w="28575">
              <a:solidFill>
                <a:srgbClr val="FF0000"/>
              </a:solidFill>
            </a:ln>
          </c:spPr>
          <c:marker>
            <c:symbol val="none"/>
          </c:marker>
          <c:val>
            <c:numRef>
              <c:f>'serie hist'!$B$12:$O$12</c:f>
              <c:numCache>
                <c:formatCode>General</c:formatCode>
                <c:ptCount val="14"/>
                <c:pt idx="0" formatCode="0.0000000">
                  <c:v>0.0</c:v>
                </c:pt>
                <c:pt idx="1">
                  <c:v>0.0</c:v>
                </c:pt>
                <c:pt idx="2">
                  <c:v>0.0</c:v>
                </c:pt>
                <c:pt idx="3">
                  <c:v>0.0</c:v>
                </c:pt>
                <c:pt idx="4">
                  <c:v>0.0</c:v>
                </c:pt>
                <c:pt idx="5">
                  <c:v>0.0</c:v>
                </c:pt>
                <c:pt idx="6">
                  <c:v>0.00493470000000002</c:v>
                </c:pt>
                <c:pt idx="7">
                  <c:v>0.0081462</c:v>
                </c:pt>
                <c:pt idx="8">
                  <c:v>0.00706900000000003</c:v>
                </c:pt>
                <c:pt idx="9">
                  <c:v>0.0103476</c:v>
                </c:pt>
                <c:pt idx="10">
                  <c:v>0.0082281</c:v>
                </c:pt>
                <c:pt idx="11">
                  <c:v>0.010051</c:v>
                </c:pt>
                <c:pt idx="12">
                  <c:v>0.0102352</c:v>
                </c:pt>
                <c:pt idx="13" formatCode="0.0000000">
                  <c:v>0.0129639</c:v>
                </c:pt>
              </c:numCache>
            </c:numRef>
          </c:val>
          <c:smooth val="0"/>
        </c:ser>
        <c:dLbls>
          <c:showLegendKey val="0"/>
          <c:showVal val="0"/>
          <c:showCatName val="0"/>
          <c:showSerName val="0"/>
          <c:showPercent val="0"/>
          <c:showBubbleSize val="0"/>
        </c:dLbls>
        <c:marker val="1"/>
        <c:smooth val="0"/>
        <c:axId val="2039334520"/>
        <c:axId val="2039337560"/>
      </c:lineChart>
      <c:catAx>
        <c:axId val="2039334520"/>
        <c:scaling>
          <c:orientation val="minMax"/>
        </c:scaling>
        <c:delete val="0"/>
        <c:axPos val="b"/>
        <c:numFmt formatCode="General" sourceLinked="1"/>
        <c:majorTickMark val="out"/>
        <c:minorTickMark val="none"/>
        <c:tickLblPos val="nextTo"/>
        <c:txPr>
          <a:bodyPr/>
          <a:lstStyle/>
          <a:p>
            <a:pPr>
              <a:defRPr sz="1000" b="0">
                <a:latin typeface="Arial" pitchFamily="34" charset="0"/>
                <a:cs typeface="Arial" pitchFamily="34" charset="0"/>
              </a:defRPr>
            </a:pPr>
            <a:endParaRPr lang="en-US"/>
          </a:p>
        </c:txPr>
        <c:crossAx val="2039337560"/>
        <c:crosses val="autoZero"/>
        <c:auto val="1"/>
        <c:lblAlgn val="ctr"/>
        <c:lblOffset val="100"/>
        <c:noMultiLvlLbl val="0"/>
      </c:catAx>
      <c:valAx>
        <c:axId val="2039337560"/>
        <c:scaling>
          <c:orientation val="minMax"/>
          <c:max val="0.28"/>
        </c:scaling>
        <c:delete val="0"/>
        <c:axPos val="l"/>
        <c:majorGridlines/>
        <c:numFmt formatCode="0.00" sourceLinked="0"/>
        <c:majorTickMark val="out"/>
        <c:minorTickMark val="none"/>
        <c:tickLblPos val="nextTo"/>
        <c:txPr>
          <a:bodyPr/>
          <a:lstStyle/>
          <a:p>
            <a:pPr>
              <a:defRPr sz="1000" b="0">
                <a:latin typeface="Arial" pitchFamily="34" charset="0"/>
                <a:cs typeface="Arial" pitchFamily="34" charset="0"/>
              </a:defRPr>
            </a:pPr>
            <a:endParaRPr lang="en-US"/>
          </a:p>
        </c:txPr>
        <c:crossAx val="2039334520"/>
        <c:crosses val="autoZero"/>
        <c:crossBetween val="between"/>
        <c:majorUnit val="0.02"/>
      </c:valAx>
    </c:plotArea>
    <c:legend>
      <c:legendPos val="b"/>
      <c:layout>
        <c:manualLayout>
          <c:xMode val="edge"/>
          <c:yMode val="edge"/>
          <c:x val="0.12819573475072"/>
          <c:y val="0.902889771090592"/>
          <c:w val="0.7495650032222"/>
          <c:h val="0.0877074129194677"/>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E2BB-12E4-8A42-9B2A-A59A1FAD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9038</Words>
  <Characters>51521</Characters>
  <Application>Microsoft Macintosh Word</Application>
  <DocSecurity>0</DocSecurity>
  <Lines>429</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Oliveira</dc:creator>
  <cp:lastModifiedBy>Raul Silveira Neto</cp:lastModifiedBy>
  <cp:revision>3</cp:revision>
  <dcterms:created xsi:type="dcterms:W3CDTF">2015-05-06T12:35:00Z</dcterms:created>
  <dcterms:modified xsi:type="dcterms:W3CDTF">2015-05-06T17:17:00Z</dcterms:modified>
</cp:coreProperties>
</file>