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CFADE" w14:textId="76143E3C" w:rsidR="00C37197" w:rsidRPr="008A5315" w:rsidRDefault="000A3F7F" w:rsidP="00341065">
      <w:pPr>
        <w:spacing w:line="360" w:lineRule="auto"/>
        <w:ind w:firstLine="708"/>
        <w:jc w:val="center"/>
        <w:rPr>
          <w:b/>
          <w:bCs/>
        </w:rPr>
      </w:pPr>
      <w:r w:rsidRPr="008A5315">
        <w:rPr>
          <w:b/>
          <w:bCs/>
        </w:rPr>
        <w:t>CORRUPÇÃO E POBREZA</w:t>
      </w:r>
      <w:r w:rsidR="00184508" w:rsidRPr="008A5315">
        <w:rPr>
          <w:b/>
          <w:bCs/>
        </w:rPr>
        <w:t xml:space="preserve"> N</w:t>
      </w:r>
      <w:r w:rsidRPr="008A5315">
        <w:rPr>
          <w:b/>
          <w:bCs/>
        </w:rPr>
        <w:t>OS MUNICÍPIOS BRASILEIROS</w:t>
      </w:r>
    </w:p>
    <w:p w14:paraId="4F650CBD" w14:textId="77777777" w:rsidR="00BD7079" w:rsidRPr="008A5315" w:rsidRDefault="00BD7079" w:rsidP="000C2FDC">
      <w:pPr>
        <w:spacing w:line="360" w:lineRule="auto"/>
        <w:jc w:val="center"/>
        <w:rPr>
          <w:b/>
        </w:rPr>
      </w:pPr>
    </w:p>
    <w:p w14:paraId="0DDD747D" w14:textId="04CD3489" w:rsidR="000A3F7F" w:rsidRPr="008A5315" w:rsidRDefault="000A3F7F" w:rsidP="000C2FDC">
      <w:pPr>
        <w:spacing w:line="360" w:lineRule="auto"/>
        <w:jc w:val="center"/>
        <w:rPr>
          <w:b/>
        </w:rPr>
      </w:pPr>
      <w:r w:rsidRPr="008A5315">
        <w:rPr>
          <w:b/>
        </w:rPr>
        <w:t>RESUMO</w:t>
      </w:r>
    </w:p>
    <w:p w14:paraId="03CA9CDB" w14:textId="1BC69C4B" w:rsidR="000A3F7F" w:rsidRPr="008A5315" w:rsidRDefault="00AB3378" w:rsidP="000C2FDC">
      <w:pPr>
        <w:spacing w:line="360" w:lineRule="auto"/>
        <w:jc w:val="both"/>
      </w:pPr>
      <w:r w:rsidRPr="008A5315">
        <w:t xml:space="preserve">O artigo analisa, por meio de um modelo de dados em painel, o impacto da corrupção na pobreza dos municípios no Brasil entre 2005 e 2016, considerando como indicador de pobreza o Índice </w:t>
      </w:r>
      <w:r w:rsidR="00F0523E" w:rsidRPr="008A5315">
        <w:t xml:space="preserve">Firjan </w:t>
      </w:r>
      <w:r w:rsidRPr="008A5315">
        <w:t xml:space="preserve">de Desenvolvimento </w:t>
      </w:r>
      <w:r w:rsidR="00AA57DC" w:rsidRPr="008A5315">
        <w:t xml:space="preserve">Municipal - </w:t>
      </w:r>
      <w:r w:rsidRPr="008A5315">
        <w:t>IFDM</w:t>
      </w:r>
      <w:r w:rsidR="00AA57DC" w:rsidRPr="008A5315">
        <w:t xml:space="preserve"> e como indicador de corrupçã</w:t>
      </w:r>
      <w:r w:rsidR="0082386E" w:rsidRPr="008A5315">
        <w:t xml:space="preserve">o o número de processos </w:t>
      </w:r>
      <w:r w:rsidR="00AA57DC" w:rsidRPr="008A5315">
        <w:t>investigados</w:t>
      </w:r>
      <w:r w:rsidR="0082386E" w:rsidRPr="008A5315">
        <w:t xml:space="preserve"> e julgados</w:t>
      </w:r>
      <w:r w:rsidR="008F31C0" w:rsidRPr="008A5315">
        <w:t>,</w:t>
      </w:r>
      <w:r w:rsidR="00AA57DC" w:rsidRPr="008A5315">
        <w:t xml:space="preserve"> </w:t>
      </w:r>
      <w:r w:rsidR="008F31C0" w:rsidRPr="008A5315">
        <w:t>relacionados à</w:t>
      </w:r>
      <w:r w:rsidR="00723563" w:rsidRPr="008A5315">
        <w:t xml:space="preserve"> tal pr</w:t>
      </w:r>
      <w:r w:rsidR="008F31C0" w:rsidRPr="008A5315">
        <w:t xml:space="preserve">ática, </w:t>
      </w:r>
      <w:r w:rsidR="00AA57DC" w:rsidRPr="008A5315">
        <w:t xml:space="preserve">extraídos da </w:t>
      </w:r>
      <w:r w:rsidRPr="008A5315">
        <w:t>C</w:t>
      </w:r>
      <w:r w:rsidR="00AA57DC" w:rsidRPr="008A5315">
        <w:t xml:space="preserve">ontroladoria Geral da União - </w:t>
      </w:r>
      <w:r w:rsidRPr="008A5315">
        <w:t>CGU.</w:t>
      </w:r>
      <w:r w:rsidR="00AA57DC" w:rsidRPr="008A5315">
        <w:t xml:space="preserve"> </w:t>
      </w:r>
      <w:r w:rsidR="002C376F" w:rsidRPr="008A5315">
        <w:t xml:space="preserve">Dentre </w:t>
      </w:r>
      <w:r w:rsidR="00ED0120" w:rsidRPr="008A5315">
        <w:t>os resultados</w:t>
      </w:r>
      <w:r w:rsidR="00CC2814" w:rsidRPr="008A5315">
        <w:t xml:space="preserve"> obtidos</w:t>
      </w:r>
      <w:r w:rsidR="00ED0120" w:rsidRPr="008A5315">
        <w:t>, c</w:t>
      </w:r>
      <w:r w:rsidR="00AA57DC" w:rsidRPr="008A5315">
        <w:t>onstatou-se que</w:t>
      </w:r>
      <w:r w:rsidRPr="008A5315">
        <w:t xml:space="preserve"> quanto maior a ocorrência de práticas corruptas</w:t>
      </w:r>
      <w:r w:rsidR="00AA57DC" w:rsidRPr="008A5315">
        <w:t xml:space="preserve"> nos municípios</w:t>
      </w:r>
      <w:r w:rsidRPr="008A5315">
        <w:t xml:space="preserve">, menores são as chances de uma elevação no índice IFDM e, por conseguinte, de diminuição </w:t>
      </w:r>
      <w:r w:rsidR="00AA57DC" w:rsidRPr="008A5315">
        <w:t>dos níveis de</w:t>
      </w:r>
      <w:r w:rsidRPr="008A5315">
        <w:t xml:space="preserve"> pobreza</w:t>
      </w:r>
      <w:r w:rsidR="00AA57DC" w:rsidRPr="008A5315">
        <w:t xml:space="preserve">. </w:t>
      </w:r>
      <w:r w:rsidR="00ED0120" w:rsidRPr="008A5315">
        <w:t xml:space="preserve">Diante das evidências apresentadas nesse estudo, sugere-se a implantação de medidas rígidas de </w:t>
      </w:r>
      <w:r w:rsidR="00CC2814" w:rsidRPr="008A5315">
        <w:t xml:space="preserve">controle a </w:t>
      </w:r>
      <w:r w:rsidR="00ED0120" w:rsidRPr="008A5315">
        <w:t>corrupção afim de evitar desperdício de recursos p</w:t>
      </w:r>
      <w:r w:rsidR="00CC2814" w:rsidRPr="008A5315">
        <w:t>úblicos direcionados</w:t>
      </w:r>
      <w:r w:rsidR="00ED0120" w:rsidRPr="008A5315">
        <w:t xml:space="preserve"> a erradicação da pobreza.</w:t>
      </w:r>
    </w:p>
    <w:p w14:paraId="6756B791" w14:textId="77777777" w:rsidR="00BD7079" w:rsidRPr="008A5315" w:rsidRDefault="00BD7079" w:rsidP="000C2FDC">
      <w:pPr>
        <w:spacing w:line="360" w:lineRule="auto"/>
        <w:jc w:val="both"/>
        <w:rPr>
          <w:b/>
        </w:rPr>
      </w:pPr>
    </w:p>
    <w:p w14:paraId="1BE7EE19" w14:textId="495F47EA" w:rsidR="00C37197" w:rsidRPr="008A5315" w:rsidRDefault="000A3F7F" w:rsidP="000C2FDC">
      <w:pPr>
        <w:spacing w:line="360" w:lineRule="auto"/>
        <w:jc w:val="both"/>
      </w:pPr>
      <w:r w:rsidRPr="008A5315">
        <w:rPr>
          <w:b/>
        </w:rPr>
        <w:t>Palavras-chave</w:t>
      </w:r>
      <w:r w:rsidRPr="008A5315">
        <w:t xml:space="preserve">: corrupção, pobreza, </w:t>
      </w:r>
      <w:r w:rsidR="00AB3378" w:rsidRPr="008A5315">
        <w:t>Índice de Desenvolvimento Municipal - IFDM</w:t>
      </w:r>
      <w:r w:rsidR="00895334" w:rsidRPr="008A5315">
        <w:t>.</w:t>
      </w:r>
    </w:p>
    <w:p w14:paraId="606BE2A7" w14:textId="1071B63D" w:rsidR="00AE3291" w:rsidRPr="008A5315" w:rsidRDefault="00AE3291" w:rsidP="000C2FDC">
      <w:pPr>
        <w:spacing w:line="360" w:lineRule="auto"/>
        <w:jc w:val="both"/>
        <w:rPr>
          <w:lang w:val="en-US"/>
        </w:rPr>
      </w:pPr>
      <w:proofErr w:type="spellStart"/>
      <w:r w:rsidRPr="008A5315">
        <w:rPr>
          <w:b/>
          <w:bCs/>
          <w:lang w:val="en-US"/>
        </w:rPr>
        <w:t>Classificação</w:t>
      </w:r>
      <w:proofErr w:type="spellEnd"/>
      <w:r w:rsidRPr="008A5315">
        <w:rPr>
          <w:b/>
          <w:bCs/>
          <w:lang w:val="en-US"/>
        </w:rPr>
        <w:t xml:space="preserve"> JEL:</w:t>
      </w:r>
      <w:r w:rsidRPr="008A5315">
        <w:rPr>
          <w:lang w:val="en-US"/>
        </w:rPr>
        <w:t xml:space="preserve"> I31.</w:t>
      </w:r>
    </w:p>
    <w:p w14:paraId="2F457B90" w14:textId="01A46CA0" w:rsidR="000A3F7F" w:rsidRPr="008A5315" w:rsidRDefault="000A3F7F" w:rsidP="000C2FDC">
      <w:pPr>
        <w:spacing w:line="360" w:lineRule="auto"/>
        <w:jc w:val="both"/>
        <w:rPr>
          <w:lang w:val="en-US"/>
        </w:rPr>
      </w:pPr>
      <w:r w:rsidRPr="008A5315">
        <w:rPr>
          <w:lang w:val="en-US"/>
        </w:rPr>
        <w:t xml:space="preserve"> </w:t>
      </w:r>
    </w:p>
    <w:p w14:paraId="118ED12D" w14:textId="77777777" w:rsidR="00C37197" w:rsidRPr="008A5315" w:rsidRDefault="00C37197" w:rsidP="000C2FDC">
      <w:pPr>
        <w:spacing w:line="360" w:lineRule="auto"/>
        <w:jc w:val="both"/>
        <w:rPr>
          <w:lang w:val="en-US"/>
        </w:rPr>
      </w:pPr>
    </w:p>
    <w:p w14:paraId="17A21D01" w14:textId="3C628B17" w:rsidR="000A3F7F" w:rsidRPr="008A5315" w:rsidRDefault="006B17D5" w:rsidP="000C2FDC">
      <w:pPr>
        <w:spacing w:line="360" w:lineRule="auto"/>
        <w:jc w:val="center"/>
        <w:rPr>
          <w:b/>
          <w:bCs/>
          <w:lang w:val="en-US"/>
        </w:rPr>
      </w:pPr>
      <w:r w:rsidRPr="008A5315">
        <w:rPr>
          <w:b/>
          <w:bCs/>
          <w:lang w:val="en-US"/>
        </w:rPr>
        <w:t>CORRUPTION AND POVERTY IN BRAZILIAN MUNICIPALITIES</w:t>
      </w:r>
    </w:p>
    <w:p w14:paraId="795C6D57" w14:textId="77777777" w:rsidR="00BD7079" w:rsidRPr="008A5315" w:rsidRDefault="00BD7079" w:rsidP="000C2FDC">
      <w:pPr>
        <w:spacing w:line="360" w:lineRule="auto"/>
        <w:jc w:val="center"/>
        <w:rPr>
          <w:b/>
          <w:lang w:val="en-US"/>
        </w:rPr>
      </w:pPr>
    </w:p>
    <w:p w14:paraId="413F7319" w14:textId="72A68580" w:rsidR="000A3F7F" w:rsidRPr="008A5315" w:rsidRDefault="000A3F7F" w:rsidP="000C2FDC">
      <w:pPr>
        <w:spacing w:line="360" w:lineRule="auto"/>
        <w:jc w:val="center"/>
        <w:rPr>
          <w:b/>
          <w:lang w:val="en-US"/>
        </w:rPr>
      </w:pPr>
      <w:r w:rsidRPr="008A5315">
        <w:rPr>
          <w:b/>
          <w:lang w:val="en-US"/>
        </w:rPr>
        <w:t>ABSTRACT</w:t>
      </w:r>
    </w:p>
    <w:p w14:paraId="3A2F67B7" w14:textId="1006CADF" w:rsidR="000A3F7F" w:rsidRPr="008A5315" w:rsidRDefault="002C376F" w:rsidP="000C2FDC">
      <w:pPr>
        <w:spacing w:line="360" w:lineRule="auto"/>
        <w:jc w:val="both"/>
        <w:rPr>
          <w:lang w:val="en-US"/>
        </w:rPr>
      </w:pPr>
      <w:r w:rsidRPr="008A5315">
        <w:rPr>
          <w:lang w:val="en-US"/>
        </w:rPr>
        <w:t xml:space="preserve">The article analyzes, through a panel data model, the impact of corruption on the poverty of municipalities in Brazil between 2005 and 2016, considering the </w:t>
      </w:r>
      <w:proofErr w:type="spellStart"/>
      <w:r w:rsidR="00F0523E" w:rsidRPr="008A5315">
        <w:rPr>
          <w:lang w:val="en-US"/>
        </w:rPr>
        <w:t>Firjan</w:t>
      </w:r>
      <w:proofErr w:type="spellEnd"/>
      <w:r w:rsidR="00F0523E" w:rsidRPr="008A5315">
        <w:rPr>
          <w:lang w:val="en-US"/>
        </w:rPr>
        <w:t xml:space="preserve"> </w:t>
      </w:r>
      <w:r w:rsidRPr="008A5315">
        <w:rPr>
          <w:lang w:val="en-US"/>
        </w:rPr>
        <w:t>Municipal Development Index - IFDM as a poverty indicator and as an indicator of corruption the number of lawsuits. tried and investigated extracted from the Comptroller General of the Union - CGU. Among the results, it was found that the higher the occurrence of corrupt practices in the municipalities, the lower the chances of an increase in the IFDM index and, therefore, a decrease in poverty levels. Given the evidence presented in this study, it is suggested that strict anti-corruption measures be implemented to avoid wasting public resources aimed at eradicating poverty.</w:t>
      </w:r>
    </w:p>
    <w:p w14:paraId="073CFA69" w14:textId="77777777" w:rsidR="00BD7079" w:rsidRPr="008A5315" w:rsidRDefault="00BD7079" w:rsidP="000C2FDC">
      <w:pPr>
        <w:spacing w:line="360" w:lineRule="auto"/>
        <w:jc w:val="both"/>
        <w:rPr>
          <w:b/>
          <w:lang w:val="en-US"/>
        </w:rPr>
      </w:pPr>
    </w:p>
    <w:p w14:paraId="47AAA4F5" w14:textId="74E81A11" w:rsidR="000A3F7F" w:rsidRPr="008A5315" w:rsidRDefault="000A3F7F" w:rsidP="000C2FDC">
      <w:pPr>
        <w:spacing w:line="360" w:lineRule="auto"/>
        <w:jc w:val="both"/>
        <w:rPr>
          <w:lang w:val="en-US"/>
        </w:rPr>
      </w:pPr>
      <w:r w:rsidRPr="008A5315">
        <w:rPr>
          <w:b/>
          <w:lang w:val="en-US"/>
        </w:rPr>
        <w:t>Keywords</w:t>
      </w:r>
      <w:r w:rsidR="00535989" w:rsidRPr="008A5315">
        <w:rPr>
          <w:lang w:val="en-US"/>
        </w:rPr>
        <w:t xml:space="preserve">: </w:t>
      </w:r>
      <w:r w:rsidR="00AB3378" w:rsidRPr="008A5315">
        <w:rPr>
          <w:lang w:val="en-US"/>
        </w:rPr>
        <w:t xml:space="preserve">corruption, poverty, </w:t>
      </w:r>
      <w:proofErr w:type="spellStart"/>
      <w:r w:rsidR="00F0523E" w:rsidRPr="008A5315">
        <w:rPr>
          <w:lang w:val="en-US"/>
        </w:rPr>
        <w:t>Firjan</w:t>
      </w:r>
      <w:proofErr w:type="spellEnd"/>
      <w:r w:rsidR="00F0523E" w:rsidRPr="008A5315">
        <w:rPr>
          <w:lang w:val="en-US"/>
        </w:rPr>
        <w:t xml:space="preserve"> </w:t>
      </w:r>
      <w:r w:rsidR="00E41324" w:rsidRPr="008A5315">
        <w:rPr>
          <w:lang w:val="en-US"/>
        </w:rPr>
        <w:t>M</w:t>
      </w:r>
      <w:r w:rsidR="00AB3378" w:rsidRPr="008A5315">
        <w:rPr>
          <w:lang w:val="en-US"/>
        </w:rPr>
        <w:t xml:space="preserve">unicipal </w:t>
      </w:r>
      <w:r w:rsidR="00E41324" w:rsidRPr="008A5315">
        <w:rPr>
          <w:lang w:val="en-US"/>
        </w:rPr>
        <w:t>Development I</w:t>
      </w:r>
      <w:r w:rsidR="00AB3378" w:rsidRPr="008A5315">
        <w:rPr>
          <w:lang w:val="en-US"/>
        </w:rPr>
        <w:t>ndex</w:t>
      </w:r>
      <w:r w:rsidR="00E41324" w:rsidRPr="008A5315">
        <w:rPr>
          <w:lang w:val="en-US"/>
        </w:rPr>
        <w:t xml:space="preserve"> - IFDM</w:t>
      </w:r>
      <w:r w:rsidR="00535989" w:rsidRPr="008A5315">
        <w:rPr>
          <w:lang w:val="en-US"/>
        </w:rPr>
        <w:t>.</w:t>
      </w:r>
    </w:p>
    <w:p w14:paraId="15821617" w14:textId="5DFC2157" w:rsidR="00C37197" w:rsidRPr="008A5315" w:rsidRDefault="000A3F7F" w:rsidP="000C2FDC">
      <w:pPr>
        <w:spacing w:line="360" w:lineRule="auto"/>
        <w:jc w:val="both"/>
      </w:pPr>
      <w:r w:rsidRPr="008A5315">
        <w:rPr>
          <w:b/>
          <w:bCs/>
        </w:rPr>
        <w:t>JEL</w:t>
      </w:r>
      <w:r w:rsidR="00BD7079" w:rsidRPr="008A5315">
        <w:rPr>
          <w:b/>
          <w:bCs/>
        </w:rPr>
        <w:t xml:space="preserve"> </w:t>
      </w:r>
      <w:proofErr w:type="spellStart"/>
      <w:r w:rsidR="00BD7079" w:rsidRPr="008A5315">
        <w:rPr>
          <w:b/>
          <w:bCs/>
        </w:rPr>
        <w:t>Classification</w:t>
      </w:r>
      <w:proofErr w:type="spellEnd"/>
      <w:r w:rsidRPr="008A5315">
        <w:rPr>
          <w:b/>
          <w:bCs/>
        </w:rPr>
        <w:t>:</w:t>
      </w:r>
      <w:r w:rsidRPr="008A5315">
        <w:t xml:space="preserve"> I31.</w:t>
      </w:r>
    </w:p>
    <w:p w14:paraId="501C7CE9" w14:textId="77777777" w:rsidR="00C37197" w:rsidRPr="008A5315" w:rsidRDefault="00C37197" w:rsidP="000C2FDC">
      <w:pPr>
        <w:spacing w:line="360" w:lineRule="auto"/>
        <w:jc w:val="both"/>
      </w:pPr>
    </w:p>
    <w:p w14:paraId="39D34930" w14:textId="30522921" w:rsidR="00983E71" w:rsidRPr="008A5315" w:rsidRDefault="00C37197" w:rsidP="000C2FDC">
      <w:pPr>
        <w:spacing w:line="360" w:lineRule="auto"/>
        <w:jc w:val="both"/>
      </w:pPr>
      <w:r w:rsidRPr="008A5315">
        <w:rPr>
          <w:b/>
          <w:noProof/>
        </w:rPr>
        <mc:AlternateContent>
          <mc:Choice Requires="wps">
            <w:drawing>
              <wp:anchor distT="0" distB="0" distL="114300" distR="114300" simplePos="0" relativeHeight="251660288" behindDoc="0" locked="0" layoutInCell="1" allowOverlap="1" wp14:anchorId="5B009939" wp14:editId="13E96291">
                <wp:simplePos x="0" y="0"/>
                <wp:positionH relativeFrom="column">
                  <wp:posOffset>5473065</wp:posOffset>
                </wp:positionH>
                <wp:positionV relativeFrom="paragraph">
                  <wp:posOffset>297180</wp:posOffset>
                </wp:positionV>
                <wp:extent cx="523875" cy="466725"/>
                <wp:effectExtent l="0" t="0" r="9525" b="9525"/>
                <wp:wrapNone/>
                <wp:docPr id="1" name="Caixa de Texto 1"/>
                <wp:cNvGraphicFramePr/>
                <a:graphic xmlns:a="http://schemas.openxmlformats.org/drawingml/2006/main">
                  <a:graphicData uri="http://schemas.microsoft.com/office/word/2010/wordprocessingShape">
                    <wps:wsp>
                      <wps:cNvSpPr txBox="1"/>
                      <wps:spPr>
                        <a:xfrm>
                          <a:off x="0" y="0"/>
                          <a:ext cx="523875" cy="466725"/>
                        </a:xfrm>
                        <a:prstGeom prst="rect">
                          <a:avLst/>
                        </a:prstGeom>
                        <a:solidFill>
                          <a:schemeClr val="lt1"/>
                        </a:solidFill>
                        <a:ln w="6350">
                          <a:noFill/>
                        </a:ln>
                      </wps:spPr>
                      <wps:txbx>
                        <w:txbxContent>
                          <w:p w14:paraId="472B9FDF" w14:textId="77777777" w:rsidR="008E7CA4" w:rsidRDefault="008E7C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009939" id="_x0000_t202" coordsize="21600,21600" o:spt="202" path="m,l,21600r21600,l21600,xe">
                <v:stroke joinstyle="miter"/>
                <v:path gradientshapeok="t" o:connecttype="rect"/>
              </v:shapetype>
              <v:shape id="Caixa de Texto 1" o:spid="_x0000_s1026" type="#_x0000_t202" style="position:absolute;left:0;text-align:left;margin-left:430.95pt;margin-top:23.4pt;width:41.25pt;height:36.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" fillcolor="white [3201]" stroked="f" strokeweight=".5pt">
                <v:textbox>
                  <w:txbxContent>
                    <w:p w14:paraId="472B9FDF" w14:textId="77777777" w:rsidR="008E7CA4" w:rsidRDefault="008E7CA4"/>
                  </w:txbxContent>
                </v:textbox>
              </v:shape>
            </w:pict>
          </mc:Fallback>
        </mc:AlternateContent>
      </w:r>
      <w:r w:rsidR="00AB6C84" w:rsidRPr="008A5315">
        <w:rPr>
          <w:b/>
          <w:noProof/>
        </w:rPr>
        <mc:AlternateContent>
          <mc:Choice Requires="wps">
            <w:drawing>
              <wp:anchor distT="0" distB="0" distL="114300" distR="114300" simplePos="0" relativeHeight="251659264" behindDoc="0" locked="0" layoutInCell="1" allowOverlap="1" wp14:anchorId="0995B97E" wp14:editId="3B59F6ED">
                <wp:simplePos x="0" y="0"/>
                <wp:positionH relativeFrom="column">
                  <wp:posOffset>5482590</wp:posOffset>
                </wp:positionH>
                <wp:positionV relativeFrom="paragraph">
                  <wp:posOffset>116205</wp:posOffset>
                </wp:positionV>
                <wp:extent cx="504825" cy="342900"/>
                <wp:effectExtent l="0" t="0" r="9525" b="0"/>
                <wp:wrapNone/>
                <wp:docPr id="2" name="Caixa de Texto 2"/>
                <wp:cNvGraphicFramePr/>
                <a:graphic xmlns:a="http://schemas.openxmlformats.org/drawingml/2006/main">
                  <a:graphicData uri="http://schemas.microsoft.com/office/word/2010/wordprocessingShape">
                    <wps:wsp>
                      <wps:cNvSpPr txBox="1"/>
                      <wps:spPr>
                        <a:xfrm>
                          <a:off x="0" y="0"/>
                          <a:ext cx="504825" cy="342900"/>
                        </a:xfrm>
                        <a:prstGeom prst="rect">
                          <a:avLst/>
                        </a:prstGeom>
                        <a:solidFill>
                          <a:schemeClr val="lt1"/>
                        </a:solidFill>
                        <a:ln w="6350">
                          <a:noFill/>
                        </a:ln>
                      </wps:spPr>
                      <wps:txbx>
                        <w:txbxContent>
                          <w:p w14:paraId="5552F8E3" w14:textId="77777777" w:rsidR="008E7CA4" w:rsidRDefault="008E7C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95B97E" id="Caixa de Texto 2" o:spid="_x0000_s1027" type="#_x0000_t202" style="position:absolute;left:0;text-align:left;margin-left:431.7pt;margin-top:9.15pt;width:39.7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" fillcolor="white [3201]" stroked="f" strokeweight=".5pt">
                <v:textbox>
                  <w:txbxContent>
                    <w:p w14:paraId="5552F8E3" w14:textId="77777777" w:rsidR="008E7CA4" w:rsidRDefault="008E7CA4"/>
                  </w:txbxContent>
                </v:textbox>
              </v:shape>
            </w:pict>
          </mc:Fallback>
        </mc:AlternateContent>
      </w:r>
    </w:p>
    <w:p w14:paraId="36F2E8B8" w14:textId="1B8F27F2" w:rsidR="00E61CB9" w:rsidRPr="008A5315" w:rsidRDefault="00E61CB9" w:rsidP="003F60FF">
      <w:pPr>
        <w:pStyle w:val="PargrafodaLista"/>
        <w:numPr>
          <w:ilvl w:val="0"/>
          <w:numId w:val="4"/>
        </w:numPr>
        <w:spacing w:after="240" w:line="360" w:lineRule="auto"/>
        <w:ind w:left="714" w:hanging="357"/>
        <w:jc w:val="both"/>
        <w:outlineLvl w:val="0"/>
        <w:rPr>
          <w:rFonts w:ascii="Times New Roman" w:hAnsi="Times New Roman" w:cs="Times New Roman"/>
          <w:b/>
          <w:sz w:val="24"/>
        </w:rPr>
      </w:pPr>
      <w:r w:rsidRPr="008A5315">
        <w:rPr>
          <w:rFonts w:ascii="Times New Roman" w:hAnsi="Times New Roman" w:cs="Times New Roman"/>
          <w:b/>
          <w:sz w:val="24"/>
        </w:rPr>
        <w:lastRenderedPageBreak/>
        <w:t>INTRODUÇÃO</w:t>
      </w:r>
      <w:r w:rsidR="00517660" w:rsidRPr="008A5315">
        <w:rPr>
          <w:rFonts w:ascii="Times New Roman" w:hAnsi="Times New Roman" w:cs="Times New Roman"/>
          <w:b/>
          <w:sz w:val="24"/>
        </w:rPr>
        <w:tab/>
      </w:r>
    </w:p>
    <w:p w14:paraId="1820A394" w14:textId="24AAD71F" w:rsidR="00F4381E" w:rsidRPr="008A5315" w:rsidRDefault="00E61CB9" w:rsidP="000C2FDC">
      <w:pPr>
        <w:spacing w:line="360" w:lineRule="auto"/>
        <w:ind w:firstLine="708"/>
        <w:jc w:val="both"/>
      </w:pPr>
      <w:r w:rsidRPr="008A5315">
        <w:t>O Banco Mundial considera a corrupção governamental como um dos principais obstáculos ao desenvolvimento econômico e social, sobretudo dos países em desenvolvimento.</w:t>
      </w:r>
      <w:r w:rsidR="00F4381E" w:rsidRPr="008A5315">
        <w:t xml:space="preserve"> </w:t>
      </w:r>
      <w:proofErr w:type="spellStart"/>
      <w:r w:rsidR="00F4381E" w:rsidRPr="008A5315">
        <w:t>Ildirar</w:t>
      </w:r>
      <w:proofErr w:type="spellEnd"/>
      <w:r w:rsidR="00F4381E" w:rsidRPr="008A5315">
        <w:t xml:space="preserve"> e </w:t>
      </w:r>
      <w:proofErr w:type="spellStart"/>
      <w:r w:rsidR="00F4381E" w:rsidRPr="008A5315">
        <w:t>Iscan</w:t>
      </w:r>
      <w:proofErr w:type="spellEnd"/>
      <w:r w:rsidR="00F4381E" w:rsidRPr="008A5315">
        <w:t xml:space="preserve"> (2015)</w:t>
      </w:r>
      <w:r w:rsidR="00EB0879" w:rsidRPr="008A5315">
        <w:t xml:space="preserve"> e Lewis (2017)</w:t>
      </w:r>
      <w:r w:rsidR="00F4381E" w:rsidRPr="008A5315">
        <w:t xml:space="preserve"> </w:t>
      </w:r>
      <w:r w:rsidR="00EB0879" w:rsidRPr="008A5315">
        <w:t>ressaltam</w:t>
      </w:r>
      <w:r w:rsidR="00F4381E" w:rsidRPr="008A5315">
        <w:t xml:space="preserve"> que a corrupção prejudica a alocação dos gastos públicos destinados, principalmente, a </w:t>
      </w:r>
      <w:r w:rsidR="00EB0879" w:rsidRPr="008A5315">
        <w:t xml:space="preserve">oferta de </w:t>
      </w:r>
      <w:r w:rsidR="00F4381E" w:rsidRPr="008A5315">
        <w:t>serviços básicos</w:t>
      </w:r>
      <w:r w:rsidR="00EB0879" w:rsidRPr="008A5315">
        <w:t xml:space="preserve"> aos mais pobres</w:t>
      </w:r>
      <w:r w:rsidR="00F4381E" w:rsidRPr="008A5315">
        <w:t xml:space="preserve"> como: educação, saúde, saneamento e habitação</w:t>
      </w:r>
      <w:r w:rsidR="00EB0879" w:rsidRPr="008A5315">
        <w:t>.</w:t>
      </w:r>
    </w:p>
    <w:p w14:paraId="0740D8E5" w14:textId="77777777" w:rsidR="00E61CB9" w:rsidRPr="008A5315" w:rsidRDefault="00E61CB9" w:rsidP="000C2FDC">
      <w:pPr>
        <w:spacing w:line="360" w:lineRule="auto"/>
        <w:ind w:firstLine="708"/>
        <w:jc w:val="both"/>
      </w:pPr>
      <w:r w:rsidRPr="008A5315">
        <w:t xml:space="preserve">Lewis (2017) argumenta que a corrupção é uma prática recorrente e endêmica em muitos países da África, da Ásia e também da América Latina porque na maioria das vezes, é caracterizada como uma atividade de alto retorno e baixo risco para quem a pratica. São países que, segundo </w:t>
      </w:r>
      <w:proofErr w:type="spellStart"/>
      <w:r w:rsidRPr="008A5315">
        <w:t>Carballo</w:t>
      </w:r>
      <w:proofErr w:type="spellEnd"/>
      <w:r w:rsidRPr="008A5315">
        <w:t xml:space="preserve"> (2009), as altas taxas de corrupção costumam coexistir com altas taxas de pobreza.</w:t>
      </w:r>
    </w:p>
    <w:p w14:paraId="5DCD6C7B" w14:textId="21B0105E" w:rsidR="00E61CB9" w:rsidRPr="008A5315" w:rsidRDefault="00E61CB9" w:rsidP="000C2FDC">
      <w:pPr>
        <w:spacing w:line="360" w:lineRule="auto"/>
        <w:jc w:val="both"/>
      </w:pPr>
      <w:r w:rsidRPr="008A5315">
        <w:tab/>
        <w:t xml:space="preserve">No </w:t>
      </w:r>
      <w:r w:rsidRPr="008A5315">
        <w:rPr>
          <w:i/>
        </w:rPr>
        <w:t>ranking</w:t>
      </w:r>
      <w:r w:rsidRPr="008A5315">
        <w:t xml:space="preserve"> dos países menos corruptos em 2018, com base no Índice de Percepção da Corrupção (IPC) da Transparência Internacional, o Brasil ocupa a 105º posição de um total de cento e oitenta países. Esse é o pior resultado do país desde 2012 e representa</w:t>
      </w:r>
      <w:r w:rsidR="00714441" w:rsidRPr="008A5315">
        <w:t xml:space="preserve"> a</w:t>
      </w:r>
      <w:r w:rsidRPr="008A5315">
        <w:t xml:space="preserve"> terceira queda anual consecutiva, ficando atrás de países como</w:t>
      </w:r>
      <w:r w:rsidR="00714441" w:rsidRPr="008A5315">
        <w:t xml:space="preserve"> a</w:t>
      </w:r>
      <w:r w:rsidRPr="008A5315">
        <w:t xml:space="preserve"> Colômbia </w:t>
      </w:r>
      <w:r w:rsidR="00851DE5" w:rsidRPr="008A5315">
        <w:t xml:space="preserve">e Argentina e </w:t>
      </w:r>
      <w:r w:rsidRPr="008A5315">
        <w:t xml:space="preserve">de vários países africanos em que, de acordo com </w:t>
      </w:r>
      <w:proofErr w:type="spellStart"/>
      <w:r w:rsidRPr="008A5315">
        <w:t>Ogboru</w:t>
      </w:r>
      <w:proofErr w:type="spellEnd"/>
      <w:r w:rsidRPr="008A5315">
        <w:t xml:space="preserve"> e </w:t>
      </w:r>
      <w:proofErr w:type="spellStart"/>
      <w:r w:rsidRPr="008A5315">
        <w:t>Abimiku</w:t>
      </w:r>
      <w:proofErr w:type="spellEnd"/>
      <w:r w:rsidRPr="008A5315">
        <w:t xml:space="preserve"> (2015), a prática da corrupção é culturalmente forte, como por exemplo, </w:t>
      </w:r>
      <w:r w:rsidR="004F7487" w:rsidRPr="008A5315">
        <w:t xml:space="preserve">em </w:t>
      </w:r>
      <w:r w:rsidRPr="008A5315">
        <w:t>Gana; Senegal e Ruanda.</w:t>
      </w:r>
    </w:p>
    <w:p w14:paraId="2CC799BB" w14:textId="77777777" w:rsidR="00E61CB9" w:rsidRPr="008A5315" w:rsidRDefault="00E61CB9" w:rsidP="000C2FDC">
      <w:pPr>
        <w:spacing w:line="360" w:lineRule="auto"/>
        <w:jc w:val="both"/>
      </w:pPr>
      <w:r w:rsidRPr="008A5315">
        <w:tab/>
        <w:t xml:space="preserve">Nas últimas décadas, sobretudo a partir da divulgação do primeiro IPC em 1995, inúmeros pesquisadores têm-se dedicado a estudar a relação entre a corrupção e pobreza. Dentre esses estudos, tem-se como precursores os trabalhos de </w:t>
      </w:r>
      <w:proofErr w:type="spellStart"/>
      <w:r w:rsidRPr="008A5315">
        <w:t>Buscaglia</w:t>
      </w:r>
      <w:proofErr w:type="spellEnd"/>
      <w:r w:rsidRPr="008A5315">
        <w:t xml:space="preserve">, (1995); Gupta </w:t>
      </w:r>
      <w:r w:rsidRPr="008A5315">
        <w:rPr>
          <w:i/>
        </w:rPr>
        <w:t>et al</w:t>
      </w:r>
      <w:r w:rsidRPr="008A5315">
        <w:t xml:space="preserve"> (1998); Kaufmann </w:t>
      </w:r>
      <w:r w:rsidRPr="008A5315">
        <w:rPr>
          <w:i/>
        </w:rPr>
        <w:t>et al</w:t>
      </w:r>
      <w:r w:rsidRPr="008A5315">
        <w:t xml:space="preserve"> (1999) e </w:t>
      </w:r>
      <w:proofErr w:type="spellStart"/>
      <w:r w:rsidRPr="008A5315">
        <w:t>Chetwynd</w:t>
      </w:r>
      <w:proofErr w:type="spellEnd"/>
      <w:r w:rsidRPr="008A5315">
        <w:t xml:space="preserve"> </w:t>
      </w:r>
      <w:r w:rsidRPr="008A5315">
        <w:rPr>
          <w:i/>
        </w:rPr>
        <w:t xml:space="preserve">et al </w:t>
      </w:r>
      <w:r w:rsidRPr="008A5315">
        <w:t>(2003). Não o</w:t>
      </w:r>
      <w:r w:rsidR="00714441" w:rsidRPr="008A5315">
        <w:t>bstante, embora no Brasi</w:t>
      </w:r>
      <w:r w:rsidR="008B766C" w:rsidRPr="008A5315">
        <w:t>l existe</w:t>
      </w:r>
      <w:r w:rsidRPr="008A5315">
        <w:t>m várias pesquisas sobre a corrupção, praticamente não há estudos que analisam os efeitos desta na pobreza, tão pouco em nível municipal. Essa é, portanto, uma importante motivação desse estudo.</w:t>
      </w:r>
    </w:p>
    <w:p w14:paraId="006155C2" w14:textId="3EA7916E" w:rsidR="00E61CB9" w:rsidRPr="008A5315" w:rsidRDefault="00E61CB9" w:rsidP="000C2FDC">
      <w:pPr>
        <w:spacing w:line="360" w:lineRule="auto"/>
        <w:jc w:val="both"/>
      </w:pPr>
      <w:r w:rsidRPr="008A5315">
        <w:tab/>
        <w:t xml:space="preserve">Outra motivação repousa no entendimento de que o conhecimento empírico do quão prejudicial </w:t>
      </w:r>
      <w:r w:rsidR="006D51C9" w:rsidRPr="008A5315">
        <w:t>possam</w:t>
      </w:r>
      <w:r w:rsidRPr="008A5315">
        <w:t xml:space="preserve"> ser as práticas de corrupção na pobreza dos municípios brasileiros, pode corroborar para um melhor direcionamento de políticas públicas do governo no âmbito da geração de renda; educação e saúde, sobretudo àqueles com maior privação. Ressalta-se também que este estudo se diferencia dos demais já realizados para outros países por utilizar um índice de corrupção mais objetivo que o IPC, amplamente adotado nas pesquisas afins, induzindo a presente pesquisa </w:t>
      </w:r>
      <w:r w:rsidR="00DE117E" w:rsidRPr="008A5315">
        <w:t>a</w:t>
      </w:r>
      <w:r w:rsidRPr="008A5315">
        <w:t xml:space="preserve"> resultados mais fidedignos e robustos comparadas aos já existentes.</w:t>
      </w:r>
    </w:p>
    <w:p w14:paraId="57698657" w14:textId="6A0A0E05" w:rsidR="00CC2814" w:rsidRPr="008A5315" w:rsidRDefault="00E61CB9" w:rsidP="000C2FDC">
      <w:pPr>
        <w:spacing w:line="360" w:lineRule="auto"/>
        <w:jc w:val="both"/>
      </w:pPr>
      <w:r w:rsidRPr="008A5315">
        <w:lastRenderedPageBreak/>
        <w:tab/>
        <w:t>Diante dessas assertivas, o objetivo desse artigo é analisar o efeito da corrupçã</w:t>
      </w:r>
      <w:r w:rsidR="00CC2814" w:rsidRPr="008A5315">
        <w:t>o na pobreza d</w:t>
      </w:r>
      <w:r w:rsidRPr="008A5315">
        <w:t>os municípios b</w:t>
      </w:r>
      <w:r w:rsidR="00605137" w:rsidRPr="008A5315">
        <w:t>rasileiros entre os anos de 2005</w:t>
      </w:r>
      <w:r w:rsidRPr="008A5315">
        <w:t xml:space="preserve"> a 2016, </w:t>
      </w:r>
      <w:r w:rsidR="00CC2814" w:rsidRPr="008A5315">
        <w:t xml:space="preserve">por meio de um modelo de dados em painel e considerando como indicador de pobreza o IFDM (Índice </w:t>
      </w:r>
      <w:r w:rsidR="00F0523E" w:rsidRPr="008A5315">
        <w:t xml:space="preserve">Firjan </w:t>
      </w:r>
      <w:r w:rsidR="00CC2814" w:rsidRPr="008A5315">
        <w:t>de Desenvolvimento Municipal) da Federação das Indústrias do Rio de Janeiro (FIRJAN) e como indicador de corrupçã</w:t>
      </w:r>
      <w:r w:rsidR="0082386E" w:rsidRPr="008A5315">
        <w:t xml:space="preserve">o o número de processos </w:t>
      </w:r>
      <w:r w:rsidR="00CC2814" w:rsidRPr="008A5315">
        <w:t>investigados</w:t>
      </w:r>
      <w:r w:rsidR="0082386E" w:rsidRPr="008A5315">
        <w:t xml:space="preserve"> julgados</w:t>
      </w:r>
      <w:r w:rsidR="00CC2814" w:rsidRPr="008A5315">
        <w:t xml:space="preserve"> disponibilizados pela CGU (Controladoria Geral da União).</w:t>
      </w:r>
    </w:p>
    <w:p w14:paraId="0137A4B8" w14:textId="576992E5" w:rsidR="00517660" w:rsidRPr="008A5315" w:rsidRDefault="00E61CB9" w:rsidP="000C2FDC">
      <w:pPr>
        <w:spacing w:line="360" w:lineRule="auto"/>
        <w:jc w:val="both"/>
      </w:pPr>
      <w:r w:rsidRPr="008A5315">
        <w:tab/>
        <w:t>Além da introdução, o artigo apresenta mais quatro seções. A segunda apresenta uma revisão da literatura sobre a corrupção, enfatizando breves fatos históricos, seus conceitos e tipos, indicadores usados, seus efeitos colatera</w:t>
      </w:r>
      <w:r w:rsidR="008B766C" w:rsidRPr="008A5315">
        <w:t>is e sua relação com a pobreza explicada com base no Modelo Econômico e n</w:t>
      </w:r>
      <w:r w:rsidRPr="008A5315">
        <w:t>o Modelo de Governança. Na terceira seção tem-se a descrição da construção do índice de corrupção e das demais variáveis utilizadas na pesquisa, além da formalização do modelo econométrico utilizado. A quarta, por sua vez, apresenta os resultados produzidos e suas análises. Sendo a última dedicada as considerações finais do artigo.</w:t>
      </w:r>
    </w:p>
    <w:p w14:paraId="08352D51" w14:textId="77777777" w:rsidR="00517660" w:rsidRPr="008A5315" w:rsidRDefault="00517660" w:rsidP="000C2FDC">
      <w:pPr>
        <w:spacing w:line="360" w:lineRule="auto"/>
        <w:jc w:val="both"/>
      </w:pPr>
    </w:p>
    <w:p w14:paraId="6A657D6A" w14:textId="15BA58FC" w:rsidR="00517660" w:rsidRPr="008A5315" w:rsidRDefault="00DB3F11" w:rsidP="00517660">
      <w:pPr>
        <w:pStyle w:val="PargrafodaLista"/>
        <w:numPr>
          <w:ilvl w:val="0"/>
          <w:numId w:val="4"/>
        </w:numPr>
        <w:spacing w:before="240" w:after="240" w:line="360" w:lineRule="auto"/>
        <w:ind w:left="714" w:hanging="357"/>
        <w:jc w:val="both"/>
        <w:outlineLvl w:val="0"/>
        <w:rPr>
          <w:rFonts w:ascii="Times New Roman" w:hAnsi="Times New Roman" w:cs="Times New Roman"/>
          <w:b/>
          <w:caps/>
          <w:sz w:val="24"/>
          <w:szCs w:val="24"/>
        </w:rPr>
      </w:pPr>
      <w:r w:rsidRPr="008A5315">
        <w:rPr>
          <w:rFonts w:ascii="Times New Roman" w:hAnsi="Times New Roman" w:cs="Times New Roman"/>
          <w:b/>
          <w:caps/>
          <w:sz w:val="24"/>
          <w:szCs w:val="24"/>
        </w:rPr>
        <w:t>CORRUPÇÃO</w:t>
      </w:r>
      <w:r w:rsidR="00F668A0" w:rsidRPr="008A5315">
        <w:rPr>
          <w:rFonts w:ascii="Times New Roman" w:hAnsi="Times New Roman" w:cs="Times New Roman"/>
          <w:b/>
          <w:caps/>
          <w:sz w:val="24"/>
          <w:szCs w:val="24"/>
        </w:rPr>
        <w:t>, seus efeitos</w:t>
      </w:r>
      <w:r w:rsidRPr="008A5315">
        <w:rPr>
          <w:rFonts w:ascii="Times New Roman" w:hAnsi="Times New Roman" w:cs="Times New Roman"/>
          <w:b/>
          <w:caps/>
          <w:sz w:val="24"/>
          <w:szCs w:val="24"/>
        </w:rPr>
        <w:t xml:space="preserve"> e sua relação com a pobreza</w:t>
      </w:r>
    </w:p>
    <w:p w14:paraId="233FBC55" w14:textId="7B1832E5" w:rsidR="004A126C" w:rsidRPr="008A5315" w:rsidRDefault="00733584" w:rsidP="00517660">
      <w:pPr>
        <w:spacing w:line="360" w:lineRule="auto"/>
        <w:ind w:firstLine="708"/>
        <w:jc w:val="both"/>
      </w:pPr>
      <w:r w:rsidRPr="008A5315">
        <w:t xml:space="preserve">A corrupção não é um fenômeno </w:t>
      </w:r>
      <w:r w:rsidR="00342DA8" w:rsidRPr="008A5315">
        <w:t>novo. N</w:t>
      </w:r>
      <w:r w:rsidRPr="008A5315">
        <w:t>o</w:t>
      </w:r>
      <w:r w:rsidR="004A126C" w:rsidRPr="008A5315">
        <w:t xml:space="preserve"> que con</w:t>
      </w:r>
      <w:r w:rsidRPr="008A5315">
        <w:t>cerne ao seu surgimento</w:t>
      </w:r>
      <w:r w:rsidR="004A126C" w:rsidRPr="008A5315">
        <w:t xml:space="preserve">, </w:t>
      </w:r>
      <w:proofErr w:type="spellStart"/>
      <w:r w:rsidR="004A126C" w:rsidRPr="008A5315">
        <w:t>Tafa</w:t>
      </w:r>
      <w:proofErr w:type="spellEnd"/>
      <w:r w:rsidR="004A126C" w:rsidRPr="008A5315">
        <w:t xml:space="preserve"> (2014) argumenta</w:t>
      </w:r>
      <w:r w:rsidR="005E4467" w:rsidRPr="008A5315">
        <w:t xml:space="preserve"> com base em estudos</w:t>
      </w:r>
      <w:r w:rsidR="00A30245" w:rsidRPr="008A5315">
        <w:t>, como</w:t>
      </w:r>
      <w:r w:rsidR="00305B5D" w:rsidRPr="008A5315">
        <w:t xml:space="preserve"> por exemplo</w:t>
      </w:r>
      <w:r w:rsidR="005E4467" w:rsidRPr="008A5315">
        <w:t xml:space="preserve"> </w:t>
      </w:r>
      <w:r w:rsidR="00A30245" w:rsidRPr="008A5315">
        <w:t xml:space="preserve">o </w:t>
      </w:r>
      <w:r w:rsidR="005E4467" w:rsidRPr="008A5315">
        <w:t xml:space="preserve">de </w:t>
      </w:r>
      <w:proofErr w:type="spellStart"/>
      <w:r w:rsidR="005E4467" w:rsidRPr="008A5315">
        <w:t>Acemoglu</w:t>
      </w:r>
      <w:proofErr w:type="spellEnd"/>
      <w:r w:rsidR="005E4467" w:rsidRPr="008A5315">
        <w:t xml:space="preserve"> </w:t>
      </w:r>
      <w:r w:rsidR="005E4467" w:rsidRPr="008A5315">
        <w:rPr>
          <w:i/>
        </w:rPr>
        <w:t xml:space="preserve">et al </w:t>
      </w:r>
      <w:r w:rsidR="005E4467" w:rsidRPr="008A5315">
        <w:t>(2001),</w:t>
      </w:r>
      <w:r w:rsidR="004A126C" w:rsidRPr="008A5315">
        <w:t xml:space="preserve"> que há uma forte relação entre colonização e corrupção. </w:t>
      </w:r>
      <w:r w:rsidR="00305B5D" w:rsidRPr="008A5315">
        <w:t>Esse estudo empírico mostrou</w:t>
      </w:r>
      <w:r w:rsidR="005E4467" w:rsidRPr="008A5315">
        <w:t xml:space="preserve"> que em áreas coloniais onde residia um grande número de europeus, as instituições locais eram usadas em benefício destes. </w:t>
      </w:r>
      <w:r w:rsidR="00CD74DC" w:rsidRPr="008A5315">
        <w:t>Evidências históricas como esta podem explicar, ainda que parcialmente, ocorrências de práticas de corrupção com maior recorrência em países que passaram por processos de colonização.</w:t>
      </w:r>
    </w:p>
    <w:p w14:paraId="5F28D2AF" w14:textId="370ACC81" w:rsidR="001F38DF" w:rsidRPr="008A5315" w:rsidRDefault="00DC5AE8" w:rsidP="000C2FDC">
      <w:pPr>
        <w:spacing w:line="360" w:lineRule="auto"/>
        <w:jc w:val="both"/>
      </w:pPr>
      <w:r w:rsidRPr="008A5315">
        <w:rPr>
          <w:b/>
        </w:rPr>
        <w:tab/>
      </w:r>
      <w:proofErr w:type="spellStart"/>
      <w:r w:rsidRPr="008A5315">
        <w:t>Tafa</w:t>
      </w:r>
      <w:proofErr w:type="spellEnd"/>
      <w:r w:rsidRPr="008A5315">
        <w:t xml:space="preserve"> (2014) expõe</w:t>
      </w:r>
      <w:r w:rsidR="00C6740F" w:rsidRPr="008A5315">
        <w:t xml:space="preserve"> também</w:t>
      </w:r>
      <w:r w:rsidR="00733584" w:rsidRPr="008A5315">
        <w:t xml:space="preserve"> </w:t>
      </w:r>
      <w:r w:rsidRPr="008A5315">
        <w:t xml:space="preserve">que a Revolução Industrial do século XVIII corroborou para o desenvolvimento da corrupção. </w:t>
      </w:r>
      <w:r w:rsidR="005715AD" w:rsidRPr="008A5315">
        <w:t xml:space="preserve">Durante esse período, em que a economia </w:t>
      </w:r>
      <w:r w:rsidR="008F4C58" w:rsidRPr="008A5315">
        <w:t>se tornou</w:t>
      </w:r>
      <w:r w:rsidR="005715AD" w:rsidRPr="008A5315">
        <w:t xml:space="preserve"> cada vez mais dependente do mercado financeiro e de investimentos, desenvolveu-se o setor bancário,</w:t>
      </w:r>
      <w:r w:rsidR="00A30245" w:rsidRPr="008A5315">
        <w:t xml:space="preserve"> o</w:t>
      </w:r>
      <w:r w:rsidR="005715AD" w:rsidRPr="008A5315">
        <w:t xml:space="preserve"> mercado de ações e de t</w:t>
      </w:r>
      <w:r w:rsidR="00A30245" w:rsidRPr="008A5315">
        <w:t>ítulos públic</w:t>
      </w:r>
      <w:r w:rsidR="00F82A9F" w:rsidRPr="008A5315">
        <w:t>os</w:t>
      </w:r>
      <w:r w:rsidR="008E7CA4">
        <w:t>,</w:t>
      </w:r>
      <w:r w:rsidR="00F82A9F" w:rsidRPr="008A5315">
        <w:t xml:space="preserve"> surgindo, de modo concomitante</w:t>
      </w:r>
      <w:r w:rsidR="00A30245" w:rsidRPr="008A5315">
        <w:t xml:space="preserve">, </w:t>
      </w:r>
      <w:r w:rsidR="005715AD" w:rsidRPr="008A5315">
        <w:t>o chamado “crime do colarinho branco”.</w:t>
      </w:r>
    </w:p>
    <w:p w14:paraId="3C275A31" w14:textId="77777777" w:rsidR="00D3760D" w:rsidRPr="008A5315" w:rsidRDefault="00583CB9" w:rsidP="000C2FDC">
      <w:pPr>
        <w:spacing w:line="360" w:lineRule="auto"/>
        <w:jc w:val="both"/>
      </w:pPr>
      <w:r w:rsidRPr="008A5315">
        <w:tab/>
      </w:r>
      <w:r w:rsidR="00733584" w:rsidRPr="008A5315">
        <w:t>Ainda sobre as evidências</w:t>
      </w:r>
      <w:r w:rsidR="00DC414E" w:rsidRPr="008A5315">
        <w:t xml:space="preserve"> históricas</w:t>
      </w:r>
      <w:r w:rsidR="00733584" w:rsidRPr="008A5315">
        <w:t xml:space="preserve"> da corrupção, </w:t>
      </w:r>
      <w:proofErr w:type="spellStart"/>
      <w:r w:rsidR="00D3760D" w:rsidRPr="008A5315">
        <w:t>Dincer</w:t>
      </w:r>
      <w:proofErr w:type="spellEnd"/>
      <w:r w:rsidR="00D3760D" w:rsidRPr="008A5315">
        <w:t xml:space="preserve"> e </w:t>
      </w:r>
      <w:proofErr w:type="spellStart"/>
      <w:r w:rsidR="00D3760D" w:rsidRPr="008A5315">
        <w:t>Gunalp</w:t>
      </w:r>
      <w:proofErr w:type="spellEnd"/>
      <w:r w:rsidR="00D3760D" w:rsidRPr="008A5315">
        <w:t xml:space="preserve"> (2008)</w:t>
      </w:r>
      <w:r w:rsidR="00733584" w:rsidRPr="008A5315">
        <w:t xml:space="preserve"> relata que no período que antecede o </w:t>
      </w:r>
      <w:r w:rsidR="00733584" w:rsidRPr="008A5315">
        <w:rPr>
          <w:i/>
        </w:rPr>
        <w:t xml:space="preserve">New </w:t>
      </w:r>
      <w:proofErr w:type="spellStart"/>
      <w:r w:rsidR="00733584" w:rsidRPr="008A5315">
        <w:rPr>
          <w:i/>
        </w:rPr>
        <w:t>Deal</w:t>
      </w:r>
      <w:proofErr w:type="spellEnd"/>
      <w:r w:rsidR="00DC414E" w:rsidRPr="008A5315">
        <w:t>,</w:t>
      </w:r>
      <w:r w:rsidR="00733584" w:rsidRPr="008A5315">
        <w:t xml:space="preserve"> os programas de bem-estar nos Estados Unidos</w:t>
      </w:r>
      <w:r w:rsidR="00DC414E" w:rsidRPr="008A5315">
        <w:t xml:space="preserve"> eram administrados por governos locais quase sempre associados à tal prática.</w:t>
      </w:r>
      <w:r w:rsidR="00733584" w:rsidRPr="008A5315">
        <w:t xml:space="preserve"> </w:t>
      </w:r>
      <w:r w:rsidR="00DC414E" w:rsidRPr="008A5315">
        <w:t>Tanto que durante o governo do presidente Roosevelt, foram criados escritórios para investigar denúncias de corrupção que culminaram a diversos processos judiciais de funcionários corruptos.</w:t>
      </w:r>
    </w:p>
    <w:p w14:paraId="4CBBE2BD" w14:textId="7748CA3F" w:rsidR="00342DA8" w:rsidRPr="008A5315" w:rsidRDefault="00342DA8" w:rsidP="000C2FDC">
      <w:pPr>
        <w:spacing w:line="360" w:lineRule="auto"/>
        <w:jc w:val="both"/>
        <w:rPr>
          <w:lang w:val="en-US"/>
        </w:rPr>
      </w:pPr>
      <w:r w:rsidRPr="008A5315">
        <w:lastRenderedPageBreak/>
        <w:tab/>
        <w:t xml:space="preserve">No intuito de mensurar e estudar a corrupção, surgiram diversos conceitos para esse fenômeno. Conceitos estes, que convergem entre si. Dentre esses conceitos, o mais usual </w:t>
      </w:r>
      <w:r w:rsidR="00C756C3" w:rsidRPr="008A5315">
        <w:t>é o do Banco Mun</w:t>
      </w:r>
      <w:r w:rsidR="00ED046A" w:rsidRPr="008A5315">
        <w:t xml:space="preserve">dial que afirma </w:t>
      </w:r>
      <w:r w:rsidRPr="008A5315">
        <w:t>que a corrupção se refere ao uso in</w:t>
      </w:r>
      <w:r w:rsidR="00ED046A" w:rsidRPr="008A5315">
        <w:t>devido de cargos</w:t>
      </w:r>
      <w:r w:rsidRPr="008A5315">
        <w:t xml:space="preserve"> públicos para ganhos </w:t>
      </w:r>
      <w:r w:rsidR="00ED046A" w:rsidRPr="008A5315">
        <w:t>pessoais</w:t>
      </w:r>
      <w:r w:rsidRPr="008A5315">
        <w:t>, esquecendo su</w:t>
      </w:r>
      <w:r w:rsidR="00E047B2" w:rsidRPr="008A5315">
        <w:t xml:space="preserve">as responsabilidades e deveres. </w:t>
      </w:r>
      <w:r w:rsidR="00B103D4" w:rsidRPr="008A5315">
        <w:t>Semelhantemente, a</w:t>
      </w:r>
      <w:r w:rsidR="00E047B2" w:rsidRPr="008A5315">
        <w:t xml:space="preserve"> Transparência Internacional</w:t>
      </w:r>
      <w:r w:rsidR="00175A98" w:rsidRPr="008A5315">
        <w:t xml:space="preserve"> (TI)</w:t>
      </w:r>
      <w:r w:rsidR="00E047B2" w:rsidRPr="008A5315">
        <w:rPr>
          <w:rStyle w:val="Refdenotaderodap"/>
        </w:rPr>
        <w:footnoteReference w:id="1"/>
      </w:r>
      <w:r w:rsidR="00B103D4" w:rsidRPr="008A5315">
        <w:t xml:space="preserve"> conceitua a corrupção como sendo o abuso de poder confiado para ganhos privados.</w:t>
      </w:r>
      <w:r w:rsidR="00ED046A" w:rsidRPr="008A5315">
        <w:t xml:space="preserve"> </w:t>
      </w:r>
      <w:r w:rsidR="00ED046A" w:rsidRPr="008A5315">
        <w:rPr>
          <w:lang w:val="en-US"/>
        </w:rPr>
        <w:t xml:space="preserve">Nessa </w:t>
      </w:r>
      <w:proofErr w:type="spellStart"/>
      <w:r w:rsidR="00ED046A" w:rsidRPr="008A5315">
        <w:rPr>
          <w:lang w:val="en-US"/>
        </w:rPr>
        <w:t>mesma</w:t>
      </w:r>
      <w:proofErr w:type="spellEnd"/>
      <w:r w:rsidR="00ED046A" w:rsidRPr="008A5315">
        <w:rPr>
          <w:lang w:val="en-US"/>
        </w:rPr>
        <w:t xml:space="preserve"> </w:t>
      </w:r>
      <w:proofErr w:type="spellStart"/>
      <w:r w:rsidR="00ED046A" w:rsidRPr="008A5315">
        <w:rPr>
          <w:lang w:val="en-US"/>
        </w:rPr>
        <w:t>direção</w:t>
      </w:r>
      <w:proofErr w:type="spellEnd"/>
      <w:r w:rsidR="00ED046A" w:rsidRPr="008A5315">
        <w:rPr>
          <w:lang w:val="en-US"/>
        </w:rPr>
        <w:t xml:space="preserve"> </w:t>
      </w:r>
      <w:proofErr w:type="spellStart"/>
      <w:r w:rsidR="00ED046A" w:rsidRPr="008A5315">
        <w:rPr>
          <w:lang w:val="en-US"/>
        </w:rPr>
        <w:t>t</w:t>
      </w:r>
      <w:r w:rsidR="008E7CA4">
        <w:rPr>
          <w:lang w:val="en-US"/>
        </w:rPr>
        <w:t>ê</w:t>
      </w:r>
      <w:r w:rsidR="00ED046A" w:rsidRPr="008A5315">
        <w:rPr>
          <w:lang w:val="en-US"/>
        </w:rPr>
        <w:t>m</w:t>
      </w:r>
      <w:proofErr w:type="spellEnd"/>
      <w:r w:rsidR="00ED046A" w:rsidRPr="008A5315">
        <w:rPr>
          <w:lang w:val="en-US"/>
        </w:rPr>
        <w:t xml:space="preserve">-se as </w:t>
      </w:r>
      <w:proofErr w:type="spellStart"/>
      <w:r w:rsidR="00ED046A" w:rsidRPr="008A5315">
        <w:rPr>
          <w:lang w:val="en-US"/>
        </w:rPr>
        <w:t>definições</w:t>
      </w:r>
      <w:proofErr w:type="spellEnd"/>
      <w:r w:rsidR="00ED046A" w:rsidRPr="008A5315">
        <w:rPr>
          <w:lang w:val="en-US"/>
        </w:rPr>
        <w:t xml:space="preserve"> de Goodman (1974): </w:t>
      </w:r>
      <w:r w:rsidR="00ED046A" w:rsidRPr="008A5315">
        <w:rPr>
          <w:i/>
          <w:lang w:val="en-US"/>
        </w:rPr>
        <w:t>Behavior of public servants who deviate from accepted norms to serve private purposes</w:t>
      </w:r>
      <w:r w:rsidR="00ED046A" w:rsidRPr="008A5315">
        <w:rPr>
          <w:lang w:val="en-US"/>
        </w:rPr>
        <w:t xml:space="preserve"> e da OCDE</w:t>
      </w:r>
      <w:r w:rsidR="00EB0589" w:rsidRPr="008A5315">
        <w:rPr>
          <w:lang w:val="en-US"/>
        </w:rPr>
        <w:t xml:space="preserve"> (2008)</w:t>
      </w:r>
      <w:r w:rsidR="00ED046A" w:rsidRPr="008A5315">
        <w:rPr>
          <w:rStyle w:val="Refdenotaderodap"/>
        </w:rPr>
        <w:footnoteReference w:id="2"/>
      </w:r>
      <w:r w:rsidR="00ED046A" w:rsidRPr="008A5315">
        <w:rPr>
          <w:lang w:val="en-US"/>
        </w:rPr>
        <w:t xml:space="preserve">: </w:t>
      </w:r>
      <w:r w:rsidR="00ED046A" w:rsidRPr="008A5315">
        <w:rPr>
          <w:i/>
          <w:lang w:val="en-US"/>
        </w:rPr>
        <w:t>The active or passive abuse of the powers of public officials for private financial benefits or other benefits</w:t>
      </w:r>
      <w:r w:rsidR="00AB18D7" w:rsidRPr="008A5315">
        <w:rPr>
          <w:lang w:val="en-US"/>
        </w:rPr>
        <w:t>.</w:t>
      </w:r>
    </w:p>
    <w:p w14:paraId="5EF65DCD" w14:textId="5E749712" w:rsidR="00EC0225" w:rsidRPr="008A5315" w:rsidRDefault="00AB18D7" w:rsidP="000C2FDC">
      <w:pPr>
        <w:spacing w:line="360" w:lineRule="auto"/>
        <w:jc w:val="both"/>
      </w:pPr>
      <w:r w:rsidRPr="008A5315">
        <w:rPr>
          <w:lang w:val="en-US"/>
        </w:rPr>
        <w:tab/>
      </w:r>
      <w:r w:rsidR="004E70CF" w:rsidRPr="008A5315">
        <w:t>É oportuno acrescent</w:t>
      </w:r>
      <w:r w:rsidR="00016270" w:rsidRPr="008A5315">
        <w:t>ar que e</w:t>
      </w:r>
      <w:r w:rsidR="00503591" w:rsidRPr="008A5315">
        <w:t>mbora os conceitos de</w:t>
      </w:r>
      <w:r w:rsidR="00993CCC" w:rsidRPr="008A5315">
        <w:t xml:space="preserve"> corrupção</w:t>
      </w:r>
      <w:r w:rsidR="00503591" w:rsidRPr="008A5315">
        <w:t xml:space="preserve"> se assemelh</w:t>
      </w:r>
      <w:r w:rsidR="008E7CA4">
        <w:t>e</w:t>
      </w:r>
      <w:r w:rsidR="00503591" w:rsidRPr="008A5315">
        <w:t xml:space="preserve">m entre si, existem diferentes tipos de corrupção. </w:t>
      </w:r>
      <w:proofErr w:type="spellStart"/>
      <w:r w:rsidRPr="008A5315">
        <w:t>Ajisafe</w:t>
      </w:r>
      <w:proofErr w:type="spellEnd"/>
      <w:r w:rsidRPr="008A5315">
        <w:t xml:space="preserve"> </w:t>
      </w:r>
      <w:r w:rsidR="00993CCC" w:rsidRPr="008A5315">
        <w:t>(20</w:t>
      </w:r>
      <w:r w:rsidRPr="008A5315">
        <w:t>16)</w:t>
      </w:r>
      <w:r w:rsidR="00993CCC" w:rsidRPr="008A5315">
        <w:t xml:space="preserve"> </w:t>
      </w:r>
      <w:r w:rsidR="00503591" w:rsidRPr="008A5315">
        <w:t>cita alguns</w:t>
      </w:r>
      <w:r w:rsidR="00016270" w:rsidRPr="008A5315">
        <w:t xml:space="preserve"> desses</w:t>
      </w:r>
      <w:r w:rsidR="00503591" w:rsidRPr="008A5315">
        <w:t xml:space="preserve"> tipos: </w:t>
      </w:r>
      <w:r w:rsidR="00993CCC" w:rsidRPr="008A5315">
        <w:t>o pe</w:t>
      </w:r>
      <w:r w:rsidR="00503591" w:rsidRPr="008A5315">
        <w:t>culato; o nepotismo; o suborno;</w:t>
      </w:r>
      <w:r w:rsidR="00993CCC" w:rsidRPr="008A5315">
        <w:t xml:space="preserve"> a extorsão</w:t>
      </w:r>
      <w:r w:rsidR="00503591" w:rsidRPr="008A5315">
        <w:t>;</w:t>
      </w:r>
      <w:r w:rsidR="00993CCC" w:rsidRPr="008A5315">
        <w:t xml:space="preserve"> o tráfico de influência e a fraude.</w:t>
      </w:r>
    </w:p>
    <w:p w14:paraId="2C7965F4" w14:textId="288B3800" w:rsidR="004E70CF" w:rsidRPr="008A5315" w:rsidRDefault="00EC0225" w:rsidP="000C2FDC">
      <w:pPr>
        <w:spacing w:line="360" w:lineRule="auto"/>
        <w:jc w:val="both"/>
      </w:pPr>
      <w:r w:rsidRPr="008A5315">
        <w:tab/>
      </w:r>
      <w:r w:rsidR="001B0A23" w:rsidRPr="008A5315">
        <w:t>Até a primeira metade dos anos de 1990 poucos economistas consideravam a corrupção como um fenômeno pesquisável devido à falta de dados quan</w:t>
      </w:r>
      <w:r w:rsidR="003A51BF" w:rsidRPr="008A5315">
        <w:t>titativos (</w:t>
      </w:r>
      <w:r w:rsidR="003A51BF" w:rsidRPr="008A5315">
        <w:rPr>
          <w:caps/>
        </w:rPr>
        <w:t xml:space="preserve">Negin </w:t>
      </w:r>
      <w:r w:rsidR="00AD10E0" w:rsidRPr="008A5315">
        <w:rPr>
          <w:i/>
          <w:iCs/>
        </w:rPr>
        <w:t>et al,</w:t>
      </w:r>
      <w:r w:rsidR="003A51BF" w:rsidRPr="008A5315">
        <w:rPr>
          <w:caps/>
        </w:rPr>
        <w:t xml:space="preserve"> 2010)</w:t>
      </w:r>
      <w:r w:rsidR="003A51BF" w:rsidRPr="008A5315">
        <w:t>.</w:t>
      </w:r>
      <w:r w:rsidR="00131CE8" w:rsidRPr="008A5315">
        <w:t xml:space="preserve"> O </w:t>
      </w:r>
      <w:r w:rsidR="00175A98" w:rsidRPr="008A5315">
        <w:t>divisor de águas nesse sentido</w:t>
      </w:r>
      <w:r w:rsidR="00131CE8" w:rsidRPr="008A5315">
        <w:t xml:space="preserve"> </w:t>
      </w:r>
      <w:r w:rsidR="00175A98" w:rsidRPr="008A5315">
        <w:t>foi a criação, em 1995, do</w:t>
      </w:r>
      <w:r w:rsidR="00131CE8" w:rsidRPr="008A5315">
        <w:t xml:space="preserve"> </w:t>
      </w:r>
      <w:proofErr w:type="spellStart"/>
      <w:r w:rsidR="009B6315" w:rsidRPr="008A5315">
        <w:rPr>
          <w:rStyle w:val="nfase"/>
          <w:bCs/>
          <w:iCs w:val="0"/>
        </w:rPr>
        <w:t>Corruption</w:t>
      </w:r>
      <w:proofErr w:type="spellEnd"/>
      <w:r w:rsidR="009B6315" w:rsidRPr="008A5315">
        <w:rPr>
          <w:rStyle w:val="nfase"/>
          <w:bCs/>
          <w:iCs w:val="0"/>
        </w:rPr>
        <w:t xml:space="preserve"> </w:t>
      </w:r>
      <w:proofErr w:type="spellStart"/>
      <w:r w:rsidR="009B6315" w:rsidRPr="008A5315">
        <w:rPr>
          <w:rStyle w:val="nfase"/>
          <w:bCs/>
          <w:iCs w:val="0"/>
        </w:rPr>
        <w:t>Perceptions</w:t>
      </w:r>
      <w:proofErr w:type="spellEnd"/>
      <w:r w:rsidR="009B6315" w:rsidRPr="008A5315">
        <w:t xml:space="preserve"> </w:t>
      </w:r>
      <w:r w:rsidR="009B6315" w:rsidRPr="008A5315">
        <w:rPr>
          <w:i/>
        </w:rPr>
        <w:t>Index</w:t>
      </w:r>
      <w:r w:rsidR="00131CE8" w:rsidRPr="008A5315">
        <w:rPr>
          <w:i/>
        </w:rPr>
        <w:t xml:space="preserve"> </w:t>
      </w:r>
      <w:r w:rsidR="009B6315" w:rsidRPr="008A5315">
        <w:rPr>
          <w:i/>
        </w:rPr>
        <w:t>(CPI</w:t>
      </w:r>
      <w:r w:rsidR="00131CE8" w:rsidRPr="008A5315">
        <w:rPr>
          <w:i/>
        </w:rPr>
        <w:t>)</w:t>
      </w:r>
      <w:r w:rsidR="00175A98" w:rsidRPr="008A5315">
        <w:t>,</w:t>
      </w:r>
      <w:r w:rsidR="006955A1" w:rsidRPr="008A5315">
        <w:t xml:space="preserve"> ou Índice de Percepção da Corrupção (IPC),</w:t>
      </w:r>
      <w:r w:rsidR="00131CE8" w:rsidRPr="008A5315">
        <w:t xml:space="preserve"> </w:t>
      </w:r>
      <w:r w:rsidR="00175A98" w:rsidRPr="008A5315">
        <w:t xml:space="preserve">atribuído </w:t>
      </w:r>
      <w:r w:rsidR="008E7CA4">
        <w:t>à</w:t>
      </w:r>
      <w:r w:rsidR="00131CE8" w:rsidRPr="008A5315">
        <w:t xml:space="preserve"> </w:t>
      </w:r>
      <w:r w:rsidR="003C551A" w:rsidRPr="008A5315">
        <w:t>Transparência Internacional</w:t>
      </w:r>
      <w:r w:rsidR="00091E9E" w:rsidRPr="008A5315">
        <w:rPr>
          <w:rStyle w:val="Refdenotaderodap"/>
        </w:rPr>
        <w:footnoteReference w:id="3"/>
      </w:r>
      <w:r w:rsidR="003A51BF" w:rsidRPr="008A5315">
        <w:t xml:space="preserve">. </w:t>
      </w:r>
      <w:r w:rsidR="003C551A" w:rsidRPr="008A5315">
        <w:t>Com base na definição</w:t>
      </w:r>
      <w:r w:rsidR="0067074C" w:rsidRPr="008A5315">
        <w:t xml:space="preserve"> de corrupção da TI, descr</w:t>
      </w:r>
      <w:r w:rsidR="00175A98" w:rsidRPr="008A5315">
        <w:t>it</w:t>
      </w:r>
      <w:r w:rsidR="003C551A" w:rsidRPr="008A5315">
        <w:t xml:space="preserve">a no quarto parágrafo dessa seção, essa organização </w:t>
      </w:r>
      <w:r w:rsidR="003A51BF" w:rsidRPr="008A5315">
        <w:t xml:space="preserve">classifica </w:t>
      </w:r>
      <w:r w:rsidR="00175A98" w:rsidRPr="008A5315">
        <w:t xml:space="preserve">por meio desse índice </w:t>
      </w:r>
      <w:r w:rsidR="008817D2" w:rsidRPr="008A5315">
        <w:t xml:space="preserve">um grupo de </w:t>
      </w:r>
      <w:r w:rsidR="003A51BF" w:rsidRPr="008A5315">
        <w:t>180 países</w:t>
      </w:r>
      <w:r w:rsidR="00175A98" w:rsidRPr="008A5315">
        <w:t xml:space="preserve"> numa escala que vai de</w:t>
      </w:r>
      <w:r w:rsidR="003E060E" w:rsidRPr="008A5315">
        <w:t xml:space="preserve"> zero (altamente corrupto) a cem</w:t>
      </w:r>
      <w:r w:rsidR="003A51BF" w:rsidRPr="008A5315">
        <w:t xml:space="preserve"> </w:t>
      </w:r>
      <w:r w:rsidR="003E060E" w:rsidRPr="008A5315">
        <w:t>(menos corrupto)</w:t>
      </w:r>
      <w:r w:rsidR="0067074C" w:rsidRPr="008A5315">
        <w:t>,</w:t>
      </w:r>
      <w:r w:rsidR="003E060E" w:rsidRPr="008A5315">
        <w:t xml:space="preserve"> </w:t>
      </w:r>
      <w:r w:rsidR="003A51BF" w:rsidRPr="008A5315">
        <w:t xml:space="preserve">de acordo com os níveis percebidos de corrupção </w:t>
      </w:r>
      <w:r w:rsidR="002E15A0" w:rsidRPr="008A5315">
        <w:t xml:space="preserve">por parte de </w:t>
      </w:r>
      <w:r w:rsidR="003A51BF" w:rsidRPr="008A5315">
        <w:t xml:space="preserve">funcionários </w:t>
      </w:r>
      <w:r w:rsidR="008817D2" w:rsidRPr="008A5315">
        <w:t>p</w:t>
      </w:r>
      <w:r w:rsidR="002E27CD" w:rsidRPr="008A5315">
        <w:t>úblicos e políticos (ELLIS, 2000).</w:t>
      </w:r>
    </w:p>
    <w:p w14:paraId="48490B5F" w14:textId="3BDD407A" w:rsidR="00FC7166" w:rsidRPr="008A5315" w:rsidRDefault="003E060E" w:rsidP="000C2FDC">
      <w:pPr>
        <w:spacing w:line="360" w:lineRule="auto"/>
        <w:ind w:firstLine="708"/>
        <w:jc w:val="both"/>
      </w:pPr>
      <w:r w:rsidRPr="008A5315">
        <w:t xml:space="preserve">Outro relevante indicador </w:t>
      </w:r>
      <w:r w:rsidR="00FC7166" w:rsidRPr="008A5315">
        <w:t xml:space="preserve">de </w:t>
      </w:r>
      <w:r w:rsidRPr="008A5315">
        <w:t xml:space="preserve">percepção </w:t>
      </w:r>
      <w:r w:rsidR="00FC7166" w:rsidRPr="008A5315">
        <w:t>da</w:t>
      </w:r>
      <w:r w:rsidR="002E15A0" w:rsidRPr="008A5315">
        <w:t xml:space="preserve"> corrupção pertence a</w:t>
      </w:r>
      <w:r w:rsidRPr="008A5315">
        <w:t>o grupo de Indicadores Globais de Governança</w:t>
      </w:r>
      <w:r w:rsidR="009B6315" w:rsidRPr="008A5315">
        <w:t xml:space="preserve">, </w:t>
      </w:r>
      <w:proofErr w:type="spellStart"/>
      <w:r w:rsidR="009B6315" w:rsidRPr="008A5315">
        <w:rPr>
          <w:bCs/>
          <w:i/>
        </w:rPr>
        <w:t>Worldwide</w:t>
      </w:r>
      <w:proofErr w:type="spellEnd"/>
      <w:r w:rsidR="009B6315" w:rsidRPr="008A5315">
        <w:rPr>
          <w:bCs/>
          <w:i/>
        </w:rPr>
        <w:t xml:space="preserve"> </w:t>
      </w:r>
      <w:proofErr w:type="spellStart"/>
      <w:r w:rsidR="009B6315" w:rsidRPr="008A5315">
        <w:rPr>
          <w:bCs/>
          <w:i/>
        </w:rPr>
        <w:t>Governance</w:t>
      </w:r>
      <w:proofErr w:type="spellEnd"/>
      <w:r w:rsidR="009B6315" w:rsidRPr="008A5315">
        <w:rPr>
          <w:bCs/>
          <w:i/>
        </w:rPr>
        <w:t xml:space="preserve"> </w:t>
      </w:r>
      <w:proofErr w:type="spellStart"/>
      <w:r w:rsidR="009B6315" w:rsidRPr="008A5315">
        <w:rPr>
          <w:bCs/>
          <w:i/>
        </w:rPr>
        <w:t>Indicators</w:t>
      </w:r>
      <w:proofErr w:type="spellEnd"/>
      <w:r w:rsidR="009B6315" w:rsidRPr="008A5315">
        <w:rPr>
          <w:rFonts w:ascii="Arial" w:hAnsi="Arial" w:cs="Arial"/>
          <w:sz w:val="21"/>
          <w:szCs w:val="21"/>
        </w:rPr>
        <w:t xml:space="preserve"> </w:t>
      </w:r>
      <w:r w:rsidR="009B6315" w:rsidRPr="008A5315">
        <w:t>(WGI)</w:t>
      </w:r>
      <w:r w:rsidR="00ED337B" w:rsidRPr="008A5315">
        <w:rPr>
          <w:rStyle w:val="Refdenotaderodap"/>
        </w:rPr>
        <w:footnoteReference w:id="4"/>
      </w:r>
      <w:r w:rsidR="00ED337B" w:rsidRPr="008A5315">
        <w:t>,</w:t>
      </w:r>
      <w:r w:rsidR="009B6315" w:rsidRPr="008A5315">
        <w:t xml:space="preserve"> </w:t>
      </w:r>
      <w:r w:rsidR="008817D2" w:rsidRPr="008A5315">
        <w:t>construído</w:t>
      </w:r>
      <w:r w:rsidR="008E7CA4">
        <w:t>s</w:t>
      </w:r>
      <w:r w:rsidR="008817D2" w:rsidRPr="008A5315">
        <w:t xml:space="preserve"> pelo</w:t>
      </w:r>
      <w:r w:rsidRPr="008A5315">
        <w:t xml:space="preserve"> Banco Mundial</w:t>
      </w:r>
      <w:r w:rsidR="0071416A" w:rsidRPr="008A5315">
        <w:t>.</w:t>
      </w:r>
      <w:r w:rsidRPr="008A5315">
        <w:t xml:space="preserve"> </w:t>
      </w:r>
      <w:r w:rsidR="00FC7166" w:rsidRPr="008A5315">
        <w:t>Como t</w:t>
      </w:r>
      <w:r w:rsidR="009B6315" w:rsidRPr="008A5315">
        <w:t>anto o CPI</w:t>
      </w:r>
      <w:r w:rsidR="00FC7166" w:rsidRPr="008A5315">
        <w:t xml:space="preserve"> quanto o WGI são elaborados</w:t>
      </w:r>
      <w:r w:rsidR="008817D2" w:rsidRPr="008A5315">
        <w:t xml:space="preserve"> </w:t>
      </w:r>
      <w:r w:rsidR="00FC7166" w:rsidRPr="008A5315">
        <w:t>a partir</w:t>
      </w:r>
      <w:r w:rsidR="008817D2" w:rsidRPr="008A5315">
        <w:t xml:space="preserve"> </w:t>
      </w:r>
      <w:r w:rsidR="00AD10E0" w:rsidRPr="008A5315">
        <w:t xml:space="preserve">da </w:t>
      </w:r>
      <w:r w:rsidR="008817D2" w:rsidRPr="008A5315">
        <w:t xml:space="preserve">percepção de </w:t>
      </w:r>
      <w:r w:rsidR="00FC7166" w:rsidRPr="008A5315">
        <w:t>especialistas</w:t>
      </w:r>
      <w:r w:rsidR="0030009D" w:rsidRPr="008A5315">
        <w:t xml:space="preserve">, empresas e indivíduos em geral no país de origem, </w:t>
      </w:r>
      <w:proofErr w:type="spellStart"/>
      <w:r w:rsidR="00FC7166" w:rsidRPr="008A5315">
        <w:t>Negin</w:t>
      </w:r>
      <w:proofErr w:type="spellEnd"/>
      <w:r w:rsidR="00FC7166" w:rsidRPr="008A5315">
        <w:t xml:space="preserve"> </w:t>
      </w:r>
      <w:r w:rsidR="00FC7166" w:rsidRPr="008A5315">
        <w:rPr>
          <w:i/>
        </w:rPr>
        <w:t>et al</w:t>
      </w:r>
      <w:r w:rsidR="00FC7166" w:rsidRPr="008A5315">
        <w:t xml:space="preserve"> (2010) recomenda que os </w:t>
      </w:r>
      <w:r w:rsidR="0071416A" w:rsidRPr="008A5315">
        <w:t>resultados sejam</w:t>
      </w:r>
      <w:r w:rsidR="00FC7166" w:rsidRPr="008A5315">
        <w:t xml:space="preserve"> interpreta</w:t>
      </w:r>
      <w:r w:rsidR="0071416A" w:rsidRPr="008A5315">
        <w:t xml:space="preserve">dos com cautela. Contudo, </w:t>
      </w:r>
      <w:r w:rsidR="0030009D" w:rsidRPr="008A5315">
        <w:t>o autor ressalta que</w:t>
      </w:r>
      <w:r w:rsidR="004A2E20" w:rsidRPr="008A5315">
        <w:t xml:space="preserve"> apesar desse aspecto subjetivo, tais índices têm cumprido um objetivo importante</w:t>
      </w:r>
      <w:r w:rsidR="00475D1B" w:rsidRPr="008A5315">
        <w:t>,</w:t>
      </w:r>
      <w:r w:rsidR="004A2E20" w:rsidRPr="008A5315">
        <w:t xml:space="preserve"> que é de aumentar a conscientização pública e política da corrupção</w:t>
      </w:r>
      <w:r w:rsidR="00846596" w:rsidRPr="008A5315">
        <w:t>.</w:t>
      </w:r>
    </w:p>
    <w:p w14:paraId="35460B29" w14:textId="6C683826" w:rsidR="001B637C" w:rsidRPr="008A5315" w:rsidRDefault="001B637C" w:rsidP="000C2FDC">
      <w:pPr>
        <w:spacing w:line="360" w:lineRule="auto"/>
        <w:ind w:firstLine="708"/>
        <w:jc w:val="both"/>
      </w:pPr>
      <w:proofErr w:type="spellStart"/>
      <w:r w:rsidRPr="008A5315">
        <w:lastRenderedPageBreak/>
        <w:t>Ünver</w:t>
      </w:r>
      <w:proofErr w:type="spellEnd"/>
      <w:r w:rsidRPr="008A5315">
        <w:t xml:space="preserve"> e </w:t>
      </w:r>
      <w:proofErr w:type="spellStart"/>
      <w:r w:rsidRPr="008A5315">
        <w:t>Koyuncu</w:t>
      </w:r>
      <w:proofErr w:type="spellEnd"/>
      <w:r w:rsidRPr="008A5315">
        <w:t xml:space="preserve"> (2016) e </w:t>
      </w:r>
      <w:proofErr w:type="spellStart"/>
      <w:r w:rsidRPr="008A5315">
        <w:t>Ogboru</w:t>
      </w:r>
      <w:proofErr w:type="spellEnd"/>
      <w:r w:rsidRPr="008A5315">
        <w:t xml:space="preserve"> e </w:t>
      </w:r>
      <w:proofErr w:type="spellStart"/>
      <w:r w:rsidRPr="008A5315">
        <w:t>Abimiku</w:t>
      </w:r>
      <w:proofErr w:type="spellEnd"/>
      <w:r w:rsidRPr="008A5315">
        <w:t xml:space="preserve"> (2015) argumentam que a corrupção floresce em países que possuem maior grau de incerteza, menor instabilidade política e econômica e com instituições fracas e fiscalizaçã</w:t>
      </w:r>
      <w:r w:rsidR="009967E0" w:rsidRPr="008A5315">
        <w:t xml:space="preserve">o frouxa. E, de acordo com </w:t>
      </w:r>
      <w:proofErr w:type="spellStart"/>
      <w:r w:rsidR="009967E0" w:rsidRPr="008A5315">
        <w:t>Ildırar</w:t>
      </w:r>
      <w:proofErr w:type="spellEnd"/>
      <w:r w:rsidR="009967E0" w:rsidRPr="008A5315">
        <w:t xml:space="preserve"> e </w:t>
      </w:r>
      <w:proofErr w:type="spellStart"/>
      <w:r w:rsidR="009967E0" w:rsidRPr="008A5315">
        <w:t>Iscan</w:t>
      </w:r>
      <w:proofErr w:type="spellEnd"/>
      <w:r w:rsidR="009967E0" w:rsidRPr="008A5315">
        <w:t xml:space="preserve"> </w:t>
      </w:r>
      <w:r w:rsidRPr="008A5315">
        <w:t>(2015), esses países com maior enraizamento da corrupção costumam ter um terço da renda dos países com baixo nível de práticas corruptas. Isso posto, é possível supor que nível de desenvolvimento e corrupção estão diretamente relacionados.</w:t>
      </w:r>
    </w:p>
    <w:p w14:paraId="5B2700F4" w14:textId="77777777" w:rsidR="001B637C" w:rsidRPr="008A5315" w:rsidRDefault="001B637C" w:rsidP="000C2FDC">
      <w:pPr>
        <w:spacing w:line="360" w:lineRule="auto"/>
        <w:jc w:val="both"/>
      </w:pPr>
      <w:r w:rsidRPr="008A5315">
        <w:tab/>
        <w:t>Ademais, estudos revelam que em países onde há uma maior intervenção do Estado na economia, a corrupção tende a ser mais recorrente. Além desse aspecto político, observou-se também que naqueles países com predominância religiosa católica ou muçulmana, onde o nível de educação da sociedade tende a ser mais baixo, há mais ocorrências de corrupção (TAFA, 2014).</w:t>
      </w:r>
    </w:p>
    <w:p w14:paraId="025C8169" w14:textId="09B60C27" w:rsidR="005B75F1" w:rsidRPr="008A5315" w:rsidRDefault="008F4C58" w:rsidP="003F60FF">
      <w:pPr>
        <w:pStyle w:val="PargrafodaLista"/>
        <w:numPr>
          <w:ilvl w:val="1"/>
          <w:numId w:val="5"/>
        </w:numPr>
        <w:spacing w:before="240" w:after="240" w:line="360" w:lineRule="auto"/>
        <w:ind w:left="357" w:hanging="357"/>
        <w:jc w:val="both"/>
        <w:outlineLvl w:val="1"/>
        <w:rPr>
          <w:rFonts w:ascii="Times New Roman" w:hAnsi="Times New Roman" w:cs="Times New Roman"/>
          <w:b/>
          <w:sz w:val="24"/>
        </w:rPr>
      </w:pPr>
      <w:r w:rsidRPr="008A5315">
        <w:rPr>
          <w:rFonts w:ascii="Times New Roman" w:hAnsi="Times New Roman" w:cs="Times New Roman"/>
          <w:b/>
          <w:sz w:val="24"/>
        </w:rPr>
        <w:t xml:space="preserve"> </w:t>
      </w:r>
      <w:r w:rsidR="00626F45" w:rsidRPr="008A5315">
        <w:rPr>
          <w:rFonts w:ascii="Times New Roman" w:hAnsi="Times New Roman" w:cs="Times New Roman"/>
          <w:b/>
          <w:sz w:val="24"/>
        </w:rPr>
        <w:t>Efeitos Colaterais da Corrupç</w:t>
      </w:r>
      <w:r w:rsidR="003A3ABD" w:rsidRPr="008A5315">
        <w:rPr>
          <w:rFonts w:ascii="Times New Roman" w:hAnsi="Times New Roman" w:cs="Times New Roman"/>
          <w:b/>
          <w:sz w:val="24"/>
        </w:rPr>
        <w:t>ão</w:t>
      </w:r>
    </w:p>
    <w:p w14:paraId="31DD5AC8" w14:textId="5995EFE2" w:rsidR="003A3ABD" w:rsidRPr="008A5315" w:rsidRDefault="00131E4F" w:rsidP="000C2FDC">
      <w:pPr>
        <w:spacing w:line="360" w:lineRule="auto"/>
        <w:jc w:val="both"/>
      </w:pPr>
      <w:r w:rsidRPr="008A5315">
        <w:tab/>
        <w:t>Hoffman (2012), ao fazer uma analogia com uma doença crônica, compara a corrupção como sendo um câncer da sociedade</w:t>
      </w:r>
      <w:r w:rsidR="008B23E6" w:rsidRPr="008A5315">
        <w:t>. Certament</w:t>
      </w:r>
      <w:r w:rsidR="009E154A" w:rsidRPr="008A5315">
        <w:t>e por ser na maioria dos casos uma prática cultural e endêmica capaz de provocar divers</w:t>
      </w:r>
      <w:r w:rsidR="00457441" w:rsidRPr="008A5315">
        <w:t xml:space="preserve">os efeitos danosos </w:t>
      </w:r>
      <w:r w:rsidR="008E7CA4">
        <w:t>à</w:t>
      </w:r>
      <w:r w:rsidR="00457441" w:rsidRPr="008A5315">
        <w:t xml:space="preserve"> sociedade. </w:t>
      </w:r>
      <w:r w:rsidR="00E20D4D" w:rsidRPr="008A5315">
        <w:t>Um desses efeitos danosos é citado por</w:t>
      </w:r>
      <w:r w:rsidR="00457441" w:rsidRPr="008A5315">
        <w:t xml:space="preserve"> </w:t>
      </w:r>
      <w:proofErr w:type="spellStart"/>
      <w:r w:rsidR="00EE1002" w:rsidRPr="008A5315">
        <w:t>Ildırar</w:t>
      </w:r>
      <w:proofErr w:type="spellEnd"/>
      <w:r w:rsidR="00EE1002" w:rsidRPr="008A5315">
        <w:t xml:space="preserve"> </w:t>
      </w:r>
      <w:r w:rsidR="004C62E4" w:rsidRPr="008A5315">
        <w:t xml:space="preserve">e </w:t>
      </w:r>
      <w:proofErr w:type="spellStart"/>
      <w:r w:rsidR="004C62E4" w:rsidRPr="008A5315">
        <w:t>Iscan</w:t>
      </w:r>
      <w:proofErr w:type="spellEnd"/>
      <w:r w:rsidR="004C62E4" w:rsidRPr="008A5315">
        <w:t xml:space="preserve"> </w:t>
      </w:r>
      <w:r w:rsidR="008B23E6" w:rsidRPr="008A5315">
        <w:t>(2015) e</w:t>
      </w:r>
      <w:r w:rsidR="00EE1002" w:rsidRPr="008A5315">
        <w:t xml:space="preserve"> </w:t>
      </w:r>
      <w:proofErr w:type="spellStart"/>
      <w:r w:rsidR="00EE1002" w:rsidRPr="008A5315">
        <w:t>Ogboru</w:t>
      </w:r>
      <w:proofErr w:type="spellEnd"/>
      <w:r w:rsidR="00EE1002" w:rsidRPr="008A5315">
        <w:t xml:space="preserve"> e </w:t>
      </w:r>
      <w:proofErr w:type="spellStart"/>
      <w:r w:rsidR="00EE1002" w:rsidRPr="008A5315">
        <w:t>Abimiku</w:t>
      </w:r>
      <w:proofErr w:type="spellEnd"/>
      <w:r w:rsidR="003A3ABD" w:rsidRPr="008A5315">
        <w:t xml:space="preserve"> (2015)</w:t>
      </w:r>
      <w:r w:rsidR="008B23E6" w:rsidRPr="008A5315">
        <w:t>, que</w:t>
      </w:r>
      <w:r w:rsidR="003A3ABD" w:rsidRPr="008A5315">
        <w:t xml:space="preserve"> revela</w:t>
      </w:r>
      <w:r w:rsidR="008B23E6" w:rsidRPr="008A5315">
        <w:t>m</w:t>
      </w:r>
      <w:r w:rsidR="00EE1002" w:rsidRPr="008A5315">
        <w:t xml:space="preserve"> que devido </w:t>
      </w:r>
      <w:r w:rsidR="008E7CA4">
        <w:t>as</w:t>
      </w:r>
      <w:r w:rsidR="00EE1002" w:rsidRPr="008A5315">
        <w:t xml:space="preserve"> práticas corruptivas reduzirem a eficiência dos gastos públicos, via má alocação e apropriação dos recursos, tais práticas enfraquecem o Estado e sua capacidade de promover o desenvolvimento e a justiça social, além de aumentar os custos de transação em uma economia.</w:t>
      </w:r>
    </w:p>
    <w:p w14:paraId="13F088FF" w14:textId="7943416C" w:rsidR="00EE1002" w:rsidRPr="008A5315" w:rsidRDefault="00EE1002" w:rsidP="000C2FDC">
      <w:pPr>
        <w:spacing w:line="360" w:lineRule="auto"/>
        <w:jc w:val="both"/>
      </w:pPr>
      <w:r w:rsidRPr="008A5315">
        <w:tab/>
        <w:t xml:space="preserve">De modo geral, </w:t>
      </w:r>
      <w:proofErr w:type="spellStart"/>
      <w:r w:rsidRPr="008A5315">
        <w:t>Carballo</w:t>
      </w:r>
      <w:proofErr w:type="spellEnd"/>
      <w:r w:rsidRPr="008A5315">
        <w:t xml:space="preserve"> (2009) argumenta que a corrupção reduz a eficácia das despesas do governo, resultando em um efeito negativo no investimento e no capital humano. Já par</w:t>
      </w:r>
      <w:r w:rsidR="0084535E" w:rsidRPr="008A5315">
        <w:t>a</w:t>
      </w:r>
      <w:r w:rsidRPr="008A5315">
        <w:rPr>
          <w:i/>
        </w:rPr>
        <w:t xml:space="preserve"> </w:t>
      </w:r>
      <w:proofErr w:type="spellStart"/>
      <w:r w:rsidRPr="008A5315">
        <w:t>Ildırar</w:t>
      </w:r>
      <w:proofErr w:type="spellEnd"/>
      <w:r w:rsidR="004C62E4" w:rsidRPr="008A5315">
        <w:t xml:space="preserve"> e </w:t>
      </w:r>
      <w:proofErr w:type="spellStart"/>
      <w:r w:rsidR="004C62E4" w:rsidRPr="008A5315">
        <w:t>Iscan</w:t>
      </w:r>
      <w:proofErr w:type="spellEnd"/>
      <w:r w:rsidRPr="008A5315">
        <w:t xml:space="preserve"> (2015) a corrupção tem um efeito negativo não somente nos investimentos e nos gastos do governo, mas também sobre a maioria dos indicadores macroeconômicos, como</w:t>
      </w:r>
      <w:r w:rsidR="00C31812">
        <w:t>:</w:t>
      </w:r>
      <w:r w:rsidRPr="008A5315">
        <w:t xml:space="preserve"> consumo</w:t>
      </w:r>
      <w:r w:rsidR="00C31812">
        <w:t>;</w:t>
      </w:r>
      <w:r w:rsidRPr="008A5315">
        <w:t xml:space="preserve"> emprego</w:t>
      </w:r>
      <w:r w:rsidR="00C31812">
        <w:t>;</w:t>
      </w:r>
      <w:r w:rsidRPr="008A5315">
        <w:t xml:space="preserve"> mercado monetário; exportações e importações.</w:t>
      </w:r>
    </w:p>
    <w:p w14:paraId="0DC45D0E" w14:textId="3399031D" w:rsidR="00CF7605" w:rsidRPr="008A5315" w:rsidRDefault="005128A0" w:rsidP="000C2FDC">
      <w:pPr>
        <w:spacing w:line="360" w:lineRule="auto"/>
        <w:jc w:val="both"/>
      </w:pPr>
      <w:r w:rsidRPr="008A5315">
        <w:tab/>
        <w:t xml:space="preserve">Outros efeitos danosos decorrentes da corrupção são mencionados por </w:t>
      </w:r>
      <w:proofErr w:type="spellStart"/>
      <w:r w:rsidRPr="008A5315">
        <w:t>Ünver</w:t>
      </w:r>
      <w:proofErr w:type="spellEnd"/>
      <w:r w:rsidRPr="008A5315">
        <w:t xml:space="preserve"> e </w:t>
      </w:r>
      <w:proofErr w:type="spellStart"/>
      <w:r w:rsidRPr="008A5315">
        <w:t>Koyuncu</w:t>
      </w:r>
      <w:proofErr w:type="spellEnd"/>
      <w:r w:rsidRPr="008A5315">
        <w:t xml:space="preserve"> (2016). De acordo com esses autores, quanto maior o nível de corr</w:t>
      </w:r>
      <w:r w:rsidR="00D36BC4" w:rsidRPr="008A5315">
        <w:t>upção no ambiente institucional</w:t>
      </w:r>
      <w:r w:rsidR="00E942C0">
        <w:t>,</w:t>
      </w:r>
      <w:r w:rsidR="00BE739C" w:rsidRPr="008A5315">
        <w:t xml:space="preserve"> por exemplo,</w:t>
      </w:r>
      <w:r w:rsidRPr="008A5315">
        <w:t xml:space="preserve"> maiores são as taxas de inflação e os níveis da dívida pública, em decorrência de um aumento excessivo no crescimento monetário e nos gastos públicos. </w:t>
      </w:r>
      <w:r w:rsidR="005D3D1C" w:rsidRPr="008A5315">
        <w:t>Deste modo</w:t>
      </w:r>
      <w:r w:rsidR="00D36BC4" w:rsidRPr="008A5315">
        <w:t>,</w:t>
      </w:r>
      <w:r w:rsidRPr="008A5315">
        <w:t xml:space="preserve"> a corrupção pode dificultar a atração de inve</w:t>
      </w:r>
      <w:r w:rsidR="00CF7605" w:rsidRPr="008A5315">
        <w:t>stimentos internacionais produtivos</w:t>
      </w:r>
      <w:r w:rsidRPr="008A5315">
        <w:t xml:space="preserve"> na economia.</w:t>
      </w:r>
      <w:r w:rsidR="00CF7605" w:rsidRPr="008A5315">
        <w:t xml:space="preserve"> Por essa razão, Hope (2014) considera a </w:t>
      </w:r>
      <w:r w:rsidR="00A269DC" w:rsidRPr="008A5315">
        <w:t>corrupção como sendo um imposto para os investidores, por aumentar o</w:t>
      </w:r>
      <w:r w:rsidR="00D36BC4" w:rsidRPr="008A5315">
        <w:t xml:space="preserve"> risco e reduzir o incentivo </w:t>
      </w:r>
      <w:r w:rsidR="00A269DC" w:rsidRPr="008A5315">
        <w:t>a investir.</w:t>
      </w:r>
    </w:p>
    <w:p w14:paraId="4132A153" w14:textId="35855505" w:rsidR="00A33DA8" w:rsidRPr="008A5315" w:rsidRDefault="00BE739C" w:rsidP="000C2FDC">
      <w:pPr>
        <w:spacing w:line="360" w:lineRule="auto"/>
        <w:ind w:firstLine="708"/>
        <w:jc w:val="both"/>
      </w:pPr>
      <w:r w:rsidRPr="008A5315">
        <w:lastRenderedPageBreak/>
        <w:t xml:space="preserve">Já </w:t>
      </w:r>
      <w:r w:rsidR="00A33DA8" w:rsidRPr="008A5315">
        <w:t xml:space="preserve">Santos (2010) </w:t>
      </w:r>
      <w:r w:rsidRPr="008A5315">
        <w:t>demonstrou</w:t>
      </w:r>
      <w:r w:rsidR="000635D1" w:rsidRPr="008A5315">
        <w:t xml:space="preserve"> cientificamente</w:t>
      </w:r>
      <w:r w:rsidR="00CA0D5F" w:rsidRPr="008A5315">
        <w:t>,</w:t>
      </w:r>
      <w:r w:rsidR="000635D1" w:rsidRPr="008A5315">
        <w:t xml:space="preserve"> por meio de uma análise de um diagrama feito </w:t>
      </w:r>
      <w:r w:rsidR="00F659D8" w:rsidRPr="008A5315">
        <w:t>com base em dados para Portugal</w:t>
      </w:r>
      <w:r w:rsidR="00CA0D5F" w:rsidRPr="008A5315">
        <w:t>,</w:t>
      </w:r>
      <w:r w:rsidR="000635D1" w:rsidRPr="008A5315">
        <w:t xml:space="preserve"> que</w:t>
      </w:r>
      <w:r w:rsidR="00A33DA8" w:rsidRPr="008A5315">
        <w:t xml:space="preserve"> a corrupção </w:t>
      </w:r>
      <w:r w:rsidR="000635D1" w:rsidRPr="008A5315">
        <w:t xml:space="preserve">pode </w:t>
      </w:r>
      <w:r w:rsidR="00A33DA8" w:rsidRPr="008A5315">
        <w:t>cria</w:t>
      </w:r>
      <w:r w:rsidR="000635D1" w:rsidRPr="008A5315">
        <w:t>r</w:t>
      </w:r>
      <w:r w:rsidR="00A33DA8" w:rsidRPr="008A5315">
        <w:t xml:space="preserve"> um “peso morto” na economia</w:t>
      </w:r>
      <w:r w:rsidR="000635D1" w:rsidRPr="008A5315">
        <w:t>. Isso</w:t>
      </w:r>
      <w:r w:rsidR="00A33DA8" w:rsidRPr="008A5315">
        <w:t xml:space="preserve"> porque</w:t>
      </w:r>
      <w:r w:rsidR="007E63D5" w:rsidRPr="008A5315">
        <w:t>,</w:t>
      </w:r>
      <w:r w:rsidR="00A33DA8" w:rsidRPr="008A5315">
        <w:t xml:space="preserve"> os ganhos dos corruptos com tais práticas ilícitas tendem a ser menor</w:t>
      </w:r>
      <w:r w:rsidR="00E942C0">
        <w:t>es</w:t>
      </w:r>
      <w:r w:rsidR="00A33DA8" w:rsidRPr="008A5315">
        <w:t xml:space="preserve"> que as perdas </w:t>
      </w:r>
      <w:r w:rsidR="007E63D5" w:rsidRPr="008A5315">
        <w:t>de bem-estar de consumidores e compradores</w:t>
      </w:r>
      <w:r w:rsidR="00A33DA8" w:rsidRPr="008A5315">
        <w:t xml:space="preserve">, </w:t>
      </w:r>
      <w:r w:rsidR="0008156C" w:rsidRPr="008A5315">
        <w:t>provocando assim uma redução do potencial das economias e sendo, portanto, um fator de empobrecimento</w:t>
      </w:r>
      <w:r w:rsidR="000635D1" w:rsidRPr="008A5315">
        <w:t xml:space="preserve"> das mesmas, já que </w:t>
      </w:r>
      <w:r w:rsidR="007E63D5" w:rsidRPr="008A5315">
        <w:t>a corrupção desestimula o comércio e torna a economia de mercado menos eficiente.</w:t>
      </w:r>
    </w:p>
    <w:p w14:paraId="4E63D2AE" w14:textId="77777777" w:rsidR="00F357C4" w:rsidRPr="008A5315" w:rsidRDefault="00FD29CF" w:rsidP="000C2FDC">
      <w:pPr>
        <w:spacing w:line="360" w:lineRule="auto"/>
        <w:ind w:firstLine="708"/>
        <w:jc w:val="both"/>
      </w:pPr>
      <w:r w:rsidRPr="008A5315">
        <w:t>Lewis (2017) em sua pesquisa</w:t>
      </w:r>
      <w:r w:rsidR="0048556F" w:rsidRPr="008A5315">
        <w:t xml:space="preserve"> procurou quantificar os danos monetár</w:t>
      </w:r>
      <w:r w:rsidR="00D8593E" w:rsidRPr="008A5315">
        <w:t>ios da corrupção. Um estudo feito para</w:t>
      </w:r>
      <w:r w:rsidR="0048556F" w:rsidRPr="008A5315">
        <w:t xml:space="preserve"> as Filipinas entre 1960 e 2011 mostrou que, aproximadamente US$ 410,5 bilhões deixaram esse país podendo ser contabilizados como “fluxos financeiros ilícitos”. Esse valor equivale a cerca de 154 vezes o orçamento nacional para a saúde nesse país, 52 vezes o da proteção social, 39 vezes o da educação e 25 vezes o da infraestrutura para o mesmo período.</w:t>
      </w:r>
      <w:r w:rsidR="00255434" w:rsidRPr="008A5315">
        <w:t xml:space="preserve"> </w:t>
      </w:r>
      <w:r w:rsidR="0048556F" w:rsidRPr="008A5315">
        <w:t>O autor expõe ainda que os fluxos financeiros ilícitos dos países em desenvolvimento em todo o mundo no ano de 2013 totalizaram US$ 1,1 trilhão de dólares, valor superior ao total de investimento direto estrangeiro recebido por essas economias naquele ano.</w:t>
      </w:r>
    </w:p>
    <w:p w14:paraId="66963BC5" w14:textId="77777777" w:rsidR="00255434" w:rsidRPr="008A5315" w:rsidRDefault="00255434" w:rsidP="000C2FDC">
      <w:pPr>
        <w:spacing w:line="360" w:lineRule="auto"/>
        <w:ind w:firstLine="708"/>
        <w:jc w:val="both"/>
      </w:pPr>
      <w:r w:rsidRPr="008A5315">
        <w:t xml:space="preserve">Ainda sobre o impacto monetário da </w:t>
      </w:r>
      <w:r w:rsidR="00FD29CF" w:rsidRPr="008A5315">
        <w:t>corrupção, embora não haja</w:t>
      </w:r>
      <w:r w:rsidRPr="008A5315">
        <w:t xml:space="preserve"> uma estimativa clara de seu custo global, a ACFE (</w:t>
      </w:r>
      <w:proofErr w:type="spellStart"/>
      <w:r w:rsidRPr="008A5315">
        <w:rPr>
          <w:i/>
        </w:rPr>
        <w:t>Association</w:t>
      </w:r>
      <w:proofErr w:type="spellEnd"/>
      <w:r w:rsidRPr="008A5315">
        <w:rPr>
          <w:i/>
        </w:rPr>
        <w:t xml:space="preserve"> </w:t>
      </w:r>
      <w:proofErr w:type="spellStart"/>
      <w:r w:rsidRPr="008A5315">
        <w:rPr>
          <w:i/>
        </w:rPr>
        <w:t>of</w:t>
      </w:r>
      <w:proofErr w:type="spellEnd"/>
      <w:r w:rsidRPr="008A5315">
        <w:rPr>
          <w:i/>
        </w:rPr>
        <w:t xml:space="preserve"> </w:t>
      </w:r>
      <w:proofErr w:type="spellStart"/>
      <w:r w:rsidRPr="008A5315">
        <w:rPr>
          <w:i/>
        </w:rPr>
        <w:t>Certified</w:t>
      </w:r>
      <w:proofErr w:type="spellEnd"/>
      <w:r w:rsidRPr="008A5315">
        <w:rPr>
          <w:i/>
        </w:rPr>
        <w:t xml:space="preserve"> </w:t>
      </w:r>
      <w:proofErr w:type="spellStart"/>
      <w:r w:rsidRPr="008A5315">
        <w:rPr>
          <w:i/>
        </w:rPr>
        <w:t>Fraud</w:t>
      </w:r>
      <w:proofErr w:type="spellEnd"/>
      <w:r w:rsidRPr="008A5315">
        <w:rPr>
          <w:i/>
        </w:rPr>
        <w:t xml:space="preserve"> </w:t>
      </w:r>
      <w:proofErr w:type="spellStart"/>
      <w:r w:rsidRPr="008A5315">
        <w:rPr>
          <w:i/>
        </w:rPr>
        <w:t>Examiners</w:t>
      </w:r>
      <w:proofErr w:type="spellEnd"/>
      <w:r w:rsidRPr="008A5315">
        <w:t xml:space="preserve">) estimou que </w:t>
      </w:r>
      <w:r w:rsidR="00FD29CF" w:rsidRPr="008A5315">
        <w:t xml:space="preserve">as </w:t>
      </w:r>
      <w:r w:rsidRPr="008A5315">
        <w:t xml:space="preserve">organizações empresariais no mundo todo perdiam na segunda metade dos anos de 1990, em média, cerca de 6% de suas receitas anuais para fraude e corrupção, somente nos Estados Unidos o custo estimado era de aproximadamente US$ 400 bilhões por ano (ELLIS, 2000). Um dado mais recente do Banco Mundial apresentado por </w:t>
      </w:r>
      <w:proofErr w:type="spellStart"/>
      <w:r w:rsidRPr="008A5315">
        <w:t>Ildırar</w:t>
      </w:r>
      <w:proofErr w:type="spellEnd"/>
      <w:r w:rsidRPr="008A5315">
        <w:t xml:space="preserve"> </w:t>
      </w:r>
      <w:r w:rsidR="004C62E4" w:rsidRPr="008A5315">
        <w:t xml:space="preserve">e </w:t>
      </w:r>
      <w:proofErr w:type="spellStart"/>
      <w:r w:rsidR="004C62E4" w:rsidRPr="008A5315">
        <w:t>Iscan</w:t>
      </w:r>
      <w:proofErr w:type="spellEnd"/>
      <w:r w:rsidR="004C62E4" w:rsidRPr="008A5315">
        <w:t xml:space="preserve"> </w:t>
      </w:r>
      <w:r w:rsidRPr="008A5315">
        <w:t>(2015) revela que em nível macro, os vazamentos com a corrupção giram em torno de 5% do PIB global.</w:t>
      </w:r>
    </w:p>
    <w:p w14:paraId="2C7FD740" w14:textId="357C47FD" w:rsidR="00120D1D" w:rsidRPr="008A5315" w:rsidRDefault="00A31E80" w:rsidP="000C2FDC">
      <w:pPr>
        <w:spacing w:line="360" w:lineRule="auto"/>
        <w:ind w:firstLine="708"/>
        <w:jc w:val="both"/>
      </w:pPr>
      <w:r w:rsidRPr="008A5315">
        <w:t xml:space="preserve">Em meio a tantos efeitos colaterais atribuídos </w:t>
      </w:r>
      <w:r w:rsidR="00E942C0">
        <w:t>às</w:t>
      </w:r>
      <w:r w:rsidRPr="008A5315">
        <w:t xml:space="preserve"> práticas corruptas, estudos como o</w:t>
      </w:r>
      <w:r w:rsidR="00120D1D" w:rsidRPr="008A5315">
        <w:t>s</w:t>
      </w:r>
      <w:r w:rsidRPr="008A5315">
        <w:t xml:space="preserve"> de </w:t>
      </w:r>
      <w:proofErr w:type="spellStart"/>
      <w:r w:rsidRPr="008A5315">
        <w:t>Negin</w:t>
      </w:r>
      <w:proofErr w:type="spellEnd"/>
      <w:r w:rsidRPr="008A5315">
        <w:t xml:space="preserve"> </w:t>
      </w:r>
      <w:r w:rsidRPr="008A5315">
        <w:rPr>
          <w:i/>
        </w:rPr>
        <w:t>et al</w:t>
      </w:r>
      <w:r w:rsidRPr="008A5315">
        <w:t xml:space="preserve"> (2010) </w:t>
      </w:r>
      <w:r w:rsidR="00F12ED6" w:rsidRPr="008A5315">
        <w:t xml:space="preserve">revelam que é possível diminuir os níveis de </w:t>
      </w:r>
      <w:r w:rsidR="00120D1D" w:rsidRPr="008A5315">
        <w:t>corrupção por meio do aumento dos níveis de governança;</w:t>
      </w:r>
      <w:r w:rsidR="00F12ED6" w:rsidRPr="008A5315">
        <w:t xml:space="preserve"> </w:t>
      </w:r>
      <w:r w:rsidR="00120D1D" w:rsidRPr="008A5315">
        <w:t>de liberdade política e de</w:t>
      </w:r>
      <w:r w:rsidR="00F12ED6" w:rsidRPr="008A5315">
        <w:t xml:space="preserve"> estabilidade</w:t>
      </w:r>
      <w:r w:rsidR="00120D1D" w:rsidRPr="008A5315">
        <w:t>; de maior grau de abertura e da prática de regimes democráticos</w:t>
      </w:r>
      <w:r w:rsidR="00F12ED6" w:rsidRPr="008A5315">
        <w:t xml:space="preserve">. Essa constatação foi inferida a partir de um estudo aplicado para </w:t>
      </w:r>
      <w:r w:rsidRPr="008A5315">
        <w:t xml:space="preserve">noventa </w:t>
      </w:r>
      <w:r w:rsidR="00F12ED6" w:rsidRPr="008A5315">
        <w:t xml:space="preserve">e sete países entre os anos de </w:t>
      </w:r>
      <w:r w:rsidR="006F7D7A" w:rsidRPr="008A5315">
        <w:t xml:space="preserve">1997 e 2006 e converge com </w:t>
      </w:r>
      <w:proofErr w:type="spellStart"/>
      <w:r w:rsidR="006F7D7A" w:rsidRPr="008A5315">
        <w:t>Ünver</w:t>
      </w:r>
      <w:proofErr w:type="spellEnd"/>
      <w:r w:rsidR="006F7D7A" w:rsidRPr="008A5315">
        <w:t xml:space="preserve"> e </w:t>
      </w:r>
      <w:proofErr w:type="spellStart"/>
      <w:r w:rsidR="006F7D7A" w:rsidRPr="008A5315">
        <w:t>Koyuncu</w:t>
      </w:r>
      <w:proofErr w:type="spellEnd"/>
      <w:r w:rsidR="006F7D7A" w:rsidRPr="008A5315">
        <w:t xml:space="preserve"> (2016).</w:t>
      </w:r>
    </w:p>
    <w:p w14:paraId="3F716E31" w14:textId="5A644ABF" w:rsidR="00C218C8" w:rsidRPr="008A5315" w:rsidRDefault="00F12ED6" w:rsidP="000C2FDC">
      <w:pPr>
        <w:spacing w:line="360" w:lineRule="auto"/>
        <w:ind w:firstLine="708"/>
        <w:jc w:val="both"/>
      </w:pPr>
      <w:r w:rsidRPr="008A5315">
        <w:t>Outr</w:t>
      </w:r>
      <w:r w:rsidR="00764DC2" w:rsidRPr="008A5315">
        <w:t>a evidência</w:t>
      </w:r>
      <w:r w:rsidR="00120D1D" w:rsidRPr="008A5315">
        <w:t xml:space="preserve"> apresentada por </w:t>
      </w:r>
      <w:proofErr w:type="spellStart"/>
      <w:r w:rsidR="00120D1D" w:rsidRPr="008A5315">
        <w:t>Negin</w:t>
      </w:r>
      <w:proofErr w:type="spellEnd"/>
      <w:r w:rsidR="00120D1D" w:rsidRPr="008A5315">
        <w:t xml:space="preserve"> </w:t>
      </w:r>
      <w:r w:rsidR="00120D1D" w:rsidRPr="008A5315">
        <w:rPr>
          <w:i/>
        </w:rPr>
        <w:t>et al</w:t>
      </w:r>
      <w:r w:rsidR="00120D1D" w:rsidRPr="008A5315">
        <w:t xml:space="preserve"> (2010) </w:t>
      </w:r>
      <w:r w:rsidR="00434463" w:rsidRPr="008A5315">
        <w:t>e</w:t>
      </w:r>
      <w:r w:rsidR="00EE1FDB" w:rsidRPr="008A5315">
        <w:t xml:space="preserve"> tão alentadora quanto a</w:t>
      </w:r>
      <w:r w:rsidR="00120D1D" w:rsidRPr="008A5315">
        <w:t>s</w:t>
      </w:r>
      <w:r w:rsidR="00EE1FDB" w:rsidRPr="008A5315">
        <w:t xml:space="preserve"> anterior</w:t>
      </w:r>
      <w:r w:rsidR="00120D1D" w:rsidRPr="008A5315">
        <w:t>es</w:t>
      </w:r>
      <w:r w:rsidR="00EE1FDB" w:rsidRPr="008A5315">
        <w:t xml:space="preserve">, é que a participação das mulheres no setor público pode reduzir a corrupção no governo. </w:t>
      </w:r>
      <w:r w:rsidR="00FE25FA" w:rsidRPr="008A5315">
        <w:t>Ressalte-se também que vários estudos mostram que em países com alta igualdade de gênero, o nível de corrupção pode ser menor (</w:t>
      </w:r>
      <w:r w:rsidR="00FE25FA" w:rsidRPr="008A5315">
        <w:rPr>
          <w:caps/>
        </w:rPr>
        <w:t xml:space="preserve">Dollar </w:t>
      </w:r>
      <w:r w:rsidR="00B61D31" w:rsidRPr="008A5315">
        <w:t>e</w:t>
      </w:r>
      <w:r w:rsidR="00FE25FA" w:rsidRPr="008A5315">
        <w:rPr>
          <w:caps/>
        </w:rPr>
        <w:t xml:space="preserve"> Gatt</w:t>
      </w:r>
      <w:r w:rsidR="00B61D31" w:rsidRPr="008A5315">
        <w:rPr>
          <w:caps/>
        </w:rPr>
        <w:t xml:space="preserve">, </w:t>
      </w:r>
      <w:r w:rsidR="00FE25FA" w:rsidRPr="008A5315">
        <w:rPr>
          <w:caps/>
        </w:rPr>
        <w:t xml:space="preserve">1999; Swamy </w:t>
      </w:r>
      <w:r w:rsidR="00B61D31" w:rsidRPr="008A5315">
        <w:rPr>
          <w:i/>
          <w:iCs/>
        </w:rPr>
        <w:t>et al</w:t>
      </w:r>
      <w:r w:rsidR="00B61D31" w:rsidRPr="008A5315">
        <w:rPr>
          <w:caps/>
        </w:rPr>
        <w:t xml:space="preserve">, </w:t>
      </w:r>
      <w:r w:rsidR="00270329" w:rsidRPr="008A5315">
        <w:rPr>
          <w:caps/>
        </w:rPr>
        <w:t>2001)</w:t>
      </w:r>
      <w:r w:rsidR="00FE25FA" w:rsidRPr="008A5315">
        <w:t>.</w:t>
      </w:r>
    </w:p>
    <w:p w14:paraId="7D9D33A0" w14:textId="1C647DD2" w:rsidR="003A3ABD" w:rsidRPr="008A5315" w:rsidRDefault="00B87EDE" w:rsidP="000C2FDC">
      <w:pPr>
        <w:spacing w:line="360" w:lineRule="auto"/>
        <w:ind w:firstLine="708"/>
        <w:jc w:val="both"/>
      </w:pPr>
      <w:r w:rsidRPr="008A5315">
        <w:t xml:space="preserve">Por fim, </w:t>
      </w:r>
      <w:proofErr w:type="spellStart"/>
      <w:r w:rsidRPr="008A5315">
        <w:t>Chetwynd</w:t>
      </w:r>
      <w:proofErr w:type="spellEnd"/>
      <w:r w:rsidRPr="008A5315">
        <w:t xml:space="preserve"> </w:t>
      </w:r>
      <w:r w:rsidRPr="008A5315">
        <w:rPr>
          <w:i/>
        </w:rPr>
        <w:t xml:space="preserve">et al </w:t>
      </w:r>
      <w:r w:rsidRPr="008A5315">
        <w:t xml:space="preserve">(2003) </w:t>
      </w:r>
      <w:r w:rsidR="00C16ABA" w:rsidRPr="008A5315">
        <w:t>ressalta</w:t>
      </w:r>
      <w:r w:rsidRPr="008A5315">
        <w:t>m</w:t>
      </w:r>
      <w:r w:rsidR="00C16ABA" w:rsidRPr="008A5315">
        <w:t xml:space="preserve"> que</w:t>
      </w:r>
      <w:r w:rsidR="00B61D31" w:rsidRPr="008A5315">
        <w:t xml:space="preserve"> e</w:t>
      </w:r>
      <w:r w:rsidR="00C16ABA" w:rsidRPr="008A5315">
        <w:t xml:space="preserve"> como a educação tende a aumentar os níveis de consciência política e participação cívica dos indivíduos, o investimento maciço e de </w:t>
      </w:r>
      <w:r w:rsidR="00C16ABA" w:rsidRPr="008A5315">
        <w:lastRenderedPageBreak/>
        <w:t>qualidade nesse setor poderá contribuir consideravelmente para a queda nos níveis de corrupção.</w:t>
      </w:r>
    </w:p>
    <w:p w14:paraId="12D27B90" w14:textId="44B09226" w:rsidR="003A3ABD" w:rsidRPr="008A5315" w:rsidRDefault="008F4C58" w:rsidP="003F60FF">
      <w:pPr>
        <w:pStyle w:val="PargrafodaLista"/>
        <w:numPr>
          <w:ilvl w:val="1"/>
          <w:numId w:val="5"/>
        </w:numPr>
        <w:spacing w:before="240" w:after="240" w:line="360" w:lineRule="auto"/>
        <w:ind w:left="357" w:hanging="357"/>
        <w:jc w:val="both"/>
        <w:outlineLvl w:val="1"/>
        <w:rPr>
          <w:rFonts w:ascii="Times New Roman" w:hAnsi="Times New Roman" w:cs="Times New Roman"/>
          <w:b/>
          <w:sz w:val="24"/>
        </w:rPr>
      </w:pPr>
      <w:r w:rsidRPr="008A5315">
        <w:rPr>
          <w:rFonts w:ascii="Times New Roman" w:hAnsi="Times New Roman" w:cs="Times New Roman"/>
          <w:b/>
          <w:sz w:val="24"/>
          <w:szCs w:val="24"/>
        </w:rPr>
        <w:t xml:space="preserve"> </w:t>
      </w:r>
      <w:r w:rsidR="003A3ABD" w:rsidRPr="008A5315">
        <w:rPr>
          <w:rFonts w:ascii="Times New Roman" w:hAnsi="Times New Roman" w:cs="Times New Roman"/>
          <w:b/>
          <w:sz w:val="24"/>
          <w:szCs w:val="24"/>
        </w:rPr>
        <w:t>Corrupção e Pobreza: Modelo Econômico e Modelo de Governança</w:t>
      </w:r>
    </w:p>
    <w:p w14:paraId="2FDAEF4C" w14:textId="77777777" w:rsidR="003A3ABD" w:rsidRPr="008A5315" w:rsidRDefault="003A3ABD" w:rsidP="000C2FDC">
      <w:pPr>
        <w:spacing w:line="360" w:lineRule="auto"/>
        <w:ind w:firstLine="705"/>
        <w:jc w:val="both"/>
      </w:pPr>
      <w:r w:rsidRPr="008A5315">
        <w:t xml:space="preserve">A corrupção por si só não produz pobreza. Na verdade, a corrupção, por ter consequências diretas sobre os fatores econômicos e de governança, acabam por influir indiretamente na pobreza </w:t>
      </w:r>
      <w:r w:rsidRPr="008A5315">
        <w:rPr>
          <w:caps/>
        </w:rPr>
        <w:t>(Ajisafe, 2016</w:t>
      </w:r>
      <w:r w:rsidRPr="008A5315">
        <w:t xml:space="preserve">; </w:t>
      </w:r>
      <w:r w:rsidRPr="008A5315">
        <w:rPr>
          <w:caps/>
        </w:rPr>
        <w:t>Wickberg, 2012</w:t>
      </w:r>
      <w:r w:rsidRPr="008A5315">
        <w:t>). Nesses termos, existe na literatura dois modelos que explicam a influência da corrupção na pobreza: o Modelo Econômico e um Modelo de Governança.</w:t>
      </w:r>
    </w:p>
    <w:p w14:paraId="68051343" w14:textId="7E32CC7F" w:rsidR="00D55B8A" w:rsidRPr="008A5315" w:rsidRDefault="003A3ABD" w:rsidP="000C2FDC">
      <w:pPr>
        <w:spacing w:line="360" w:lineRule="auto"/>
        <w:ind w:firstLine="705"/>
        <w:jc w:val="both"/>
        <w:rPr>
          <w:i/>
          <w:iCs/>
        </w:rPr>
      </w:pPr>
      <w:r w:rsidRPr="008A5315">
        <w:t>O Modelo Econômico postula que a corrupção afeta a pobreza impactando primeiramente os fatores de crescimento econômico - queda no investimento estrangeiro e interno; redução no empreendedorismo; diminuição da renda agregada e das receitas tributárias do governo, etc. - os quais, por sua vez, impactam no aumento da pobreza. Já o Modelo de Governança pressupõe que a corrupção afeta a pobreza por influenciar negativamente os fatores de governança - enfraquecime</w:t>
      </w:r>
      <w:r w:rsidR="00FD29CF" w:rsidRPr="008A5315">
        <w:t>nto das instituições políticas e</w:t>
      </w:r>
      <w:r w:rsidRPr="008A5315">
        <w:t xml:space="preserve"> da participação cidadã e baixa qualidade e redução na oferta de serviços públicos como: educação; saúde; habitação e saneamento – induzindo assim a um aumento da pobreza, </w:t>
      </w:r>
      <w:r w:rsidRPr="008A5315">
        <w:rPr>
          <w:caps/>
        </w:rPr>
        <w:t xml:space="preserve">(Aina, 2014; Chetwynd </w:t>
      </w:r>
      <w:r w:rsidR="00D55B8A" w:rsidRPr="008A5315">
        <w:rPr>
          <w:i/>
          <w:iCs/>
        </w:rPr>
        <w:t>et al</w:t>
      </w:r>
      <w:r w:rsidRPr="008A5315">
        <w:rPr>
          <w:i/>
          <w:caps/>
        </w:rPr>
        <w:t xml:space="preserve">, </w:t>
      </w:r>
      <w:r w:rsidRPr="008A5315">
        <w:rPr>
          <w:caps/>
        </w:rPr>
        <w:t>2003)</w:t>
      </w:r>
      <w:r w:rsidRPr="008A5315">
        <w:t>.</w:t>
      </w:r>
    </w:p>
    <w:p w14:paraId="1028166A" w14:textId="79E52D3A" w:rsidR="003A3ABD" w:rsidRPr="008A5315" w:rsidRDefault="003A3ABD" w:rsidP="000C2FDC">
      <w:pPr>
        <w:spacing w:line="360" w:lineRule="auto"/>
        <w:ind w:firstLine="705"/>
        <w:jc w:val="both"/>
        <w:rPr>
          <w:i/>
          <w:iCs/>
        </w:rPr>
      </w:pPr>
      <w:r w:rsidRPr="008A5315">
        <w:t>Com respeito ao primeir</w:t>
      </w:r>
      <w:r w:rsidR="00F10FF0" w:rsidRPr="008A5315">
        <w:t xml:space="preserve">o modelo, estudos como os de </w:t>
      </w:r>
      <w:proofErr w:type="spellStart"/>
      <w:r w:rsidR="00F41119" w:rsidRPr="008A5315">
        <w:t>Tafa</w:t>
      </w:r>
      <w:proofErr w:type="spellEnd"/>
      <w:r w:rsidR="00F41119" w:rsidRPr="008A5315">
        <w:t xml:space="preserve"> (2014) e </w:t>
      </w:r>
      <w:proofErr w:type="spellStart"/>
      <w:r w:rsidR="00F10FF0" w:rsidRPr="008A5315">
        <w:t>Tanzi</w:t>
      </w:r>
      <w:proofErr w:type="spellEnd"/>
      <w:r w:rsidR="00F10FF0" w:rsidRPr="008A5315">
        <w:t xml:space="preserve"> (1998)</w:t>
      </w:r>
      <w:r w:rsidRPr="008A5315">
        <w:t>, evidenciam que de fato ocorre um aumento nos níveis de pobreza à medida que a produtividade econômica é afetada pela corrupção. Por outro lado, com relação ao segundo modelo, a corrupção tem sido constantemente correlacionada, por exemplo, com maiores taxas de evasão escolar e altos níveis de mortalidade infantil (</w:t>
      </w:r>
      <w:r w:rsidRPr="008A5315">
        <w:rPr>
          <w:caps/>
        </w:rPr>
        <w:t>Ajisafe</w:t>
      </w:r>
      <w:r w:rsidRPr="008A5315">
        <w:t xml:space="preserve">, 2016), elevando, portanto, a vulnerabilidade dos pobres. Sobre esse aspecto, </w:t>
      </w:r>
      <w:proofErr w:type="spellStart"/>
      <w:r w:rsidRPr="008A5315">
        <w:t>Chetwynd</w:t>
      </w:r>
      <w:proofErr w:type="spellEnd"/>
      <w:r w:rsidRPr="008A5315">
        <w:t xml:space="preserve"> </w:t>
      </w:r>
      <w:r w:rsidRPr="008A5315">
        <w:rPr>
          <w:i/>
        </w:rPr>
        <w:t xml:space="preserve">et al </w:t>
      </w:r>
      <w:r w:rsidRPr="008A5315">
        <w:t xml:space="preserve">(2003) argumentam que a baixa oferta e </w:t>
      </w:r>
      <w:r w:rsidR="002450BE" w:rsidRPr="008A5315">
        <w:t>in</w:t>
      </w:r>
      <w:r w:rsidRPr="008A5315">
        <w:t xml:space="preserve">eficiência na alocação de serviços públicos básicos, decorrentes das práticas de corrupção, afetam os mais pobres por serem estes os mais dependentes de tais serviços, principalmente de educação e saúde. </w:t>
      </w:r>
    </w:p>
    <w:p w14:paraId="62D1CE95" w14:textId="28F48521" w:rsidR="003007BB" w:rsidRPr="008A5315" w:rsidRDefault="003A3ABD" w:rsidP="000C2FDC">
      <w:pPr>
        <w:spacing w:line="360" w:lineRule="auto"/>
        <w:jc w:val="both"/>
      </w:pPr>
      <w:r w:rsidRPr="008A5315">
        <w:tab/>
      </w:r>
      <w:proofErr w:type="spellStart"/>
      <w:r w:rsidR="00B87EDE" w:rsidRPr="008A5315">
        <w:t>Chetwynd</w:t>
      </w:r>
      <w:proofErr w:type="spellEnd"/>
      <w:r w:rsidR="00B87EDE" w:rsidRPr="008A5315">
        <w:t xml:space="preserve"> </w:t>
      </w:r>
      <w:r w:rsidR="00B87EDE" w:rsidRPr="008A5315">
        <w:rPr>
          <w:i/>
        </w:rPr>
        <w:t xml:space="preserve">et al </w:t>
      </w:r>
      <w:r w:rsidR="00B87EDE" w:rsidRPr="008A5315">
        <w:t xml:space="preserve">(2003) </w:t>
      </w:r>
      <w:r w:rsidRPr="008A5315">
        <w:t>acrescenta</w:t>
      </w:r>
      <w:r w:rsidR="00B87EDE" w:rsidRPr="008A5315">
        <w:t>m</w:t>
      </w:r>
      <w:r w:rsidRPr="008A5315">
        <w:t xml:space="preserve"> que além da corrupção aumentar a pobreza via baixo crescimento econômico e baixa governança, ela também pode contribuir para o seu aumento indireto via redução no capital social institucional. Como o alto estoque dessa modalidade de capital está fortemente relacionada a baixos níveis de pobreza</w:t>
      </w:r>
      <w:r w:rsidR="00563AE9" w:rsidRPr="008A5315">
        <w:rPr>
          <w:rStyle w:val="Refdenotaderodap"/>
        </w:rPr>
        <w:footnoteReference w:id="5"/>
      </w:r>
      <w:r w:rsidRPr="008A5315">
        <w:t xml:space="preserve"> e, sendo a confiança um </w:t>
      </w:r>
      <w:r w:rsidRPr="008A5315">
        <w:lastRenderedPageBreak/>
        <w:t>importante atributo desse capital, o enfraquecimento das instituições governamentais e de sua credibilidade acabam por induzir também a um aumento nos</w:t>
      </w:r>
      <w:r w:rsidR="003007BB" w:rsidRPr="008A5315">
        <w:t xml:space="preserve"> níveis de pobreza.</w:t>
      </w:r>
    </w:p>
    <w:p w14:paraId="47A404B3" w14:textId="77777777" w:rsidR="00517660" w:rsidRPr="008A5315" w:rsidRDefault="00517660" w:rsidP="000C2FDC">
      <w:pPr>
        <w:spacing w:line="360" w:lineRule="auto"/>
        <w:jc w:val="both"/>
      </w:pPr>
    </w:p>
    <w:p w14:paraId="25EF0D43" w14:textId="77777777" w:rsidR="004B15BB" w:rsidRPr="008A5315" w:rsidRDefault="00DB3F11" w:rsidP="003F60FF">
      <w:pPr>
        <w:pStyle w:val="PargrafodaLista"/>
        <w:numPr>
          <w:ilvl w:val="0"/>
          <w:numId w:val="5"/>
        </w:numPr>
        <w:spacing w:before="240" w:after="240" w:line="360" w:lineRule="auto"/>
        <w:ind w:left="357" w:hanging="357"/>
        <w:jc w:val="both"/>
        <w:outlineLvl w:val="0"/>
        <w:rPr>
          <w:rFonts w:ascii="Times New Roman" w:hAnsi="Times New Roman" w:cs="Times New Roman"/>
          <w:b/>
          <w:sz w:val="24"/>
        </w:rPr>
      </w:pPr>
      <w:r w:rsidRPr="008A5315">
        <w:rPr>
          <w:rFonts w:ascii="Times New Roman" w:hAnsi="Times New Roman" w:cs="Times New Roman"/>
          <w:b/>
          <w:sz w:val="24"/>
        </w:rPr>
        <w:t>ESTRATÉGIA METODOLÓGICA</w:t>
      </w:r>
    </w:p>
    <w:p w14:paraId="526FEE0A" w14:textId="12B56462" w:rsidR="00FE311D" w:rsidRPr="008A5315" w:rsidRDefault="006640D6" w:rsidP="000C2FDC">
      <w:pPr>
        <w:spacing w:line="360" w:lineRule="auto"/>
        <w:ind w:firstLine="708"/>
        <w:jc w:val="both"/>
      </w:pPr>
      <w:r w:rsidRPr="008A5315">
        <w:t>Esta seção é dedicada</w:t>
      </w:r>
      <w:r w:rsidR="006E75D0" w:rsidRPr="008A5315">
        <w:t xml:space="preserve"> a descrição dos dados e a metodologia econométrica utilizada, de modo a responder a seguinte pergunta: Qual o efeito da corrupção sobre o nível de pobreza municipal? Para a consecução deste estudo, foram coletados dados contábeis, demográficos e sobre corrupção referente aos municípios brasileiros para o</w:t>
      </w:r>
      <w:r w:rsidR="00E61775" w:rsidRPr="008A5315">
        <w:t>s</w:t>
      </w:r>
      <w:r w:rsidR="006E75D0" w:rsidRPr="008A5315">
        <w:t xml:space="preserve"> ano</w:t>
      </w:r>
      <w:r w:rsidR="00E61775" w:rsidRPr="008A5315">
        <w:t>s</w:t>
      </w:r>
      <w:r w:rsidR="006E75D0" w:rsidRPr="008A5315">
        <w:t xml:space="preserve"> de 2005 a 2</w:t>
      </w:r>
      <w:r w:rsidR="001B25F2" w:rsidRPr="008A5315">
        <w:t>0</w:t>
      </w:r>
      <w:r w:rsidR="006E75D0" w:rsidRPr="008A5315">
        <w:t>16.</w:t>
      </w:r>
    </w:p>
    <w:p w14:paraId="33F7A5EC" w14:textId="1FE3CE7F" w:rsidR="006E75D0" w:rsidRPr="008A5315" w:rsidRDefault="008F4C58" w:rsidP="003F60FF">
      <w:pPr>
        <w:pStyle w:val="PargrafodaLista"/>
        <w:numPr>
          <w:ilvl w:val="1"/>
          <w:numId w:val="5"/>
        </w:numPr>
        <w:spacing w:before="240" w:after="240" w:line="360" w:lineRule="auto"/>
        <w:ind w:left="357" w:hanging="357"/>
        <w:jc w:val="both"/>
        <w:outlineLvl w:val="1"/>
        <w:rPr>
          <w:rFonts w:ascii="Times New Roman" w:hAnsi="Times New Roman" w:cs="Times New Roman"/>
          <w:b/>
          <w:bCs/>
          <w:sz w:val="24"/>
          <w:szCs w:val="24"/>
        </w:rPr>
      </w:pPr>
      <w:r w:rsidRPr="008A5315">
        <w:rPr>
          <w:rFonts w:ascii="Times New Roman" w:hAnsi="Times New Roman" w:cs="Times New Roman"/>
          <w:b/>
          <w:bCs/>
          <w:sz w:val="24"/>
          <w:szCs w:val="24"/>
        </w:rPr>
        <w:t xml:space="preserve"> </w:t>
      </w:r>
      <w:r w:rsidR="006E75D0" w:rsidRPr="008A5315">
        <w:rPr>
          <w:rFonts w:ascii="Times New Roman" w:hAnsi="Times New Roman" w:cs="Times New Roman"/>
          <w:b/>
          <w:bCs/>
          <w:sz w:val="24"/>
          <w:szCs w:val="24"/>
        </w:rPr>
        <w:t>Dados Amostrais</w:t>
      </w:r>
    </w:p>
    <w:p w14:paraId="16E8BDB0" w14:textId="79C1BD29" w:rsidR="009913E2" w:rsidRPr="008A5315" w:rsidRDefault="006E75D0" w:rsidP="009913E2">
      <w:pPr>
        <w:spacing w:line="360" w:lineRule="auto"/>
        <w:ind w:firstLine="708"/>
        <w:jc w:val="both"/>
      </w:pPr>
      <w:r w:rsidRPr="008A5315">
        <w:t>A base de dados</w:t>
      </w:r>
      <w:r w:rsidR="00500520" w:rsidRPr="008A5315">
        <w:t xml:space="preserve"> utilizada na pesquisa</w:t>
      </w:r>
      <w:r w:rsidRPr="008A5315">
        <w:t xml:space="preserve"> reúne </w:t>
      </w:r>
      <w:r w:rsidR="006F4B63" w:rsidRPr="008A5315">
        <w:t xml:space="preserve">um total de </w:t>
      </w:r>
      <w:r w:rsidRPr="008A5315">
        <w:t xml:space="preserve">66.708 observações </w:t>
      </w:r>
      <w:r w:rsidR="00500520" w:rsidRPr="008A5315">
        <w:t xml:space="preserve">para 5.559 municípios e </w:t>
      </w:r>
      <w:r w:rsidR="006F4B63" w:rsidRPr="008A5315">
        <w:t xml:space="preserve">foi extraída das seguintes fontes: </w:t>
      </w:r>
      <w:r w:rsidRPr="008A5315">
        <w:t>FINBRA/</w:t>
      </w:r>
      <w:r w:rsidR="00500520" w:rsidRPr="008A5315">
        <w:t>SICONFI</w:t>
      </w:r>
      <w:r w:rsidR="006640D6" w:rsidRPr="008A5315">
        <w:t xml:space="preserve"> (Finanças do Brasil/Sistemas de Informações Contábeis e Fiscais do Setor Público Brasileiro) da STN (Secretaria do Tesouro Nacional)</w:t>
      </w:r>
      <w:r w:rsidR="006F4B63" w:rsidRPr="008A5315">
        <w:t>;</w:t>
      </w:r>
      <w:r w:rsidRPr="008A5315">
        <w:t xml:space="preserve"> </w:t>
      </w:r>
      <w:r w:rsidR="00500520" w:rsidRPr="008A5315">
        <w:t>SISAP (Sistema de Indicadores de Saúde e Acompanhamento de Políticas do Idoso/Fundação Osvaldo Cruz) da FIOCRUZ (Fundação Osvaldo Cruz)</w:t>
      </w:r>
      <w:r w:rsidR="006F4B63" w:rsidRPr="008A5315">
        <w:t>;</w:t>
      </w:r>
      <w:r w:rsidR="00FE311D" w:rsidRPr="008A5315">
        <w:t xml:space="preserve"> FIRJAN</w:t>
      </w:r>
      <w:r w:rsidR="00500520" w:rsidRPr="008A5315">
        <w:t xml:space="preserve"> (Federação das Indústrias do Rio de Janeiro)</w:t>
      </w:r>
      <w:r w:rsidRPr="008A5315">
        <w:t xml:space="preserve"> e </w:t>
      </w:r>
      <w:r w:rsidR="00500520" w:rsidRPr="008A5315">
        <w:t>CGU (</w:t>
      </w:r>
      <w:r w:rsidRPr="008A5315">
        <w:t>Controladoria Geral da União</w:t>
      </w:r>
      <w:r w:rsidR="00500520" w:rsidRPr="008A5315">
        <w:t xml:space="preserve">). </w:t>
      </w:r>
      <w:r w:rsidR="009A0A9F" w:rsidRPr="008A5315">
        <w:t>A partir dessas</w:t>
      </w:r>
      <w:r w:rsidR="00500520" w:rsidRPr="008A5315">
        <w:t xml:space="preserve"> bases de dados, retirou-se</w:t>
      </w:r>
      <w:r w:rsidRPr="008A5315">
        <w:t xml:space="preserve"> informaçõ</w:t>
      </w:r>
      <w:r w:rsidR="00500520" w:rsidRPr="008A5315">
        <w:t>es sobre despesas c</w:t>
      </w:r>
      <w:r w:rsidR="00EE443D" w:rsidRPr="008A5315">
        <w:t>orrentes,</w:t>
      </w:r>
      <w:r w:rsidR="00500520" w:rsidRPr="008A5315">
        <w:t xml:space="preserve"> despesa com s</w:t>
      </w:r>
      <w:r w:rsidR="00EE443D" w:rsidRPr="008A5315">
        <w:t>aúde</w:t>
      </w:r>
      <w:r w:rsidR="00500520" w:rsidRPr="008A5315">
        <w:t>, produto interno b</w:t>
      </w:r>
      <w:r w:rsidRPr="008A5315">
        <w:t>ruto</w:t>
      </w:r>
      <w:r w:rsidR="00500520" w:rsidRPr="008A5315">
        <w:t>, p</w:t>
      </w:r>
      <w:r w:rsidRPr="008A5315">
        <w:t>opulaç</w:t>
      </w:r>
      <w:r w:rsidR="00500520" w:rsidRPr="008A5315">
        <w:t>ão, p</w:t>
      </w:r>
      <w:r w:rsidR="00EE443D" w:rsidRPr="008A5315">
        <w:t>opulação idosa</w:t>
      </w:r>
      <w:r w:rsidRPr="008A5315">
        <w:t>, Índice de</w:t>
      </w:r>
      <w:r w:rsidR="006F4B63" w:rsidRPr="008A5315">
        <w:t xml:space="preserve"> Desenvolvimento Municipal (IFDM</w:t>
      </w:r>
      <w:r w:rsidR="00500520" w:rsidRPr="008A5315">
        <w:t>) e n</w:t>
      </w:r>
      <w:r w:rsidRPr="008A5315">
        <w:t>úmero</w:t>
      </w:r>
      <w:r w:rsidR="00500520" w:rsidRPr="008A5315">
        <w:t xml:space="preserve"> de p</w:t>
      </w:r>
      <w:r w:rsidR="004D3C61" w:rsidRPr="008A5315">
        <w:t xml:space="preserve">rocessos relativos </w:t>
      </w:r>
      <w:r w:rsidR="00D55B8A" w:rsidRPr="008A5315">
        <w:t>à</w:t>
      </w:r>
      <w:r w:rsidR="004D3C61" w:rsidRPr="008A5315">
        <w:t xml:space="preserve"> corrupção</w:t>
      </w:r>
      <w:r w:rsidR="00500520" w:rsidRPr="008A5315">
        <w:t xml:space="preserve"> afim de obter </w:t>
      </w:r>
      <w:r w:rsidR="009A0A9F" w:rsidRPr="008A5315">
        <w:t xml:space="preserve">e construir </w:t>
      </w:r>
      <w:r w:rsidR="00500520" w:rsidRPr="008A5315">
        <w:t xml:space="preserve">as seguintes variáveis </w:t>
      </w:r>
      <w:r w:rsidR="009A0A9F" w:rsidRPr="008A5315">
        <w:t>apresentadas no quadro abaixo</w:t>
      </w:r>
      <w:r w:rsidR="00500520" w:rsidRPr="008A5315">
        <w:t>.</w:t>
      </w:r>
    </w:p>
    <w:p w14:paraId="47A1DEFD" w14:textId="77777777" w:rsidR="00A64E1A" w:rsidRPr="008A5315" w:rsidRDefault="00A64E1A" w:rsidP="00A64E1A">
      <w:pPr>
        <w:pStyle w:val="Corpodetexto"/>
        <w:spacing w:before="83" w:after="8"/>
      </w:pPr>
      <w:r w:rsidRPr="008A5315">
        <w:t>Quadro 1 - Resumo das Variáveis, Descrição e Fonte de Dados.</w:t>
      </w:r>
      <w:r w:rsidRPr="008A5315">
        <w:fldChar w:fldCharType="begin"/>
      </w:r>
      <w:r w:rsidRPr="008A5315">
        <w:instrText xml:space="preserve"> LINK Excel.Sheet.12 "C:\\Users\\Lilian\\Desktop\\Quadro de variáveis.xlsx" Planilha1!L4C2:L14C4 \a \f 4 \h  \* MERGEFORMAT </w:instrText>
      </w:r>
      <w:r w:rsidRPr="008A5315">
        <w:fldChar w:fldCharType="separat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56"/>
        <w:gridCol w:w="4184"/>
        <w:gridCol w:w="2021"/>
      </w:tblGrid>
      <w:tr w:rsidR="00A64E1A" w:rsidRPr="008A5315" w14:paraId="47778C68" w14:textId="77777777" w:rsidTr="009913E2">
        <w:trPr>
          <w:trHeight w:val="300"/>
        </w:trPr>
        <w:tc>
          <w:tcPr>
            <w:tcW w:w="1666" w:type="pct"/>
            <w:shd w:val="clear" w:color="auto" w:fill="auto"/>
            <w:noWrap/>
            <w:vAlign w:val="center"/>
            <w:hideMark/>
          </w:tcPr>
          <w:p w14:paraId="27F47B82" w14:textId="77777777" w:rsidR="00A64E1A" w:rsidRPr="008A5315" w:rsidRDefault="00A64E1A" w:rsidP="009224DC">
            <w:pPr>
              <w:jc w:val="center"/>
              <w:rPr>
                <w:bCs/>
              </w:rPr>
            </w:pPr>
            <w:r w:rsidRPr="008A5315">
              <w:rPr>
                <w:bCs/>
              </w:rPr>
              <w:t>Variáveis</w:t>
            </w:r>
          </w:p>
        </w:tc>
        <w:tc>
          <w:tcPr>
            <w:tcW w:w="2399" w:type="pct"/>
            <w:shd w:val="clear" w:color="auto" w:fill="auto"/>
            <w:noWrap/>
            <w:vAlign w:val="center"/>
            <w:hideMark/>
          </w:tcPr>
          <w:p w14:paraId="6932FDC5" w14:textId="77777777" w:rsidR="00A64E1A" w:rsidRPr="008A5315" w:rsidRDefault="00A64E1A" w:rsidP="009224DC">
            <w:pPr>
              <w:jc w:val="center"/>
              <w:rPr>
                <w:bCs/>
              </w:rPr>
            </w:pPr>
            <w:r w:rsidRPr="008A5315">
              <w:rPr>
                <w:bCs/>
              </w:rPr>
              <w:t>Descrição</w:t>
            </w:r>
          </w:p>
        </w:tc>
        <w:tc>
          <w:tcPr>
            <w:tcW w:w="935" w:type="pct"/>
            <w:shd w:val="clear" w:color="auto" w:fill="auto"/>
            <w:vAlign w:val="center"/>
            <w:hideMark/>
          </w:tcPr>
          <w:p w14:paraId="643E5CB6" w14:textId="77777777" w:rsidR="00A64E1A" w:rsidRPr="008A5315" w:rsidRDefault="00A64E1A" w:rsidP="009224DC">
            <w:pPr>
              <w:jc w:val="center"/>
              <w:rPr>
                <w:bCs/>
              </w:rPr>
            </w:pPr>
            <w:r w:rsidRPr="008A5315">
              <w:rPr>
                <w:bCs/>
              </w:rPr>
              <w:t>Fonte de dados</w:t>
            </w:r>
          </w:p>
        </w:tc>
      </w:tr>
      <w:tr w:rsidR="00A64E1A" w:rsidRPr="008A5315" w14:paraId="2B223115" w14:textId="77777777" w:rsidTr="009913E2">
        <w:trPr>
          <w:trHeight w:val="300"/>
        </w:trPr>
        <w:tc>
          <w:tcPr>
            <w:tcW w:w="1666" w:type="pct"/>
            <w:shd w:val="clear" w:color="auto" w:fill="auto"/>
            <w:noWrap/>
            <w:vAlign w:val="bottom"/>
            <w:hideMark/>
          </w:tcPr>
          <w:p w14:paraId="505246E6" w14:textId="501DC4BE" w:rsidR="00A64E1A" w:rsidRPr="008A5315" w:rsidRDefault="00A64E1A" w:rsidP="00F4381E">
            <w:pPr>
              <w:rPr>
                <w:bCs/>
              </w:rPr>
            </w:pPr>
          </w:p>
        </w:tc>
        <w:tc>
          <w:tcPr>
            <w:tcW w:w="2399" w:type="pct"/>
            <w:shd w:val="clear" w:color="auto" w:fill="auto"/>
            <w:noWrap/>
            <w:vAlign w:val="bottom"/>
            <w:hideMark/>
          </w:tcPr>
          <w:p w14:paraId="7F76CC94" w14:textId="77777777" w:rsidR="00A64E1A" w:rsidRPr="008A5315" w:rsidRDefault="00A64E1A" w:rsidP="00F4381E">
            <w:pPr>
              <w:jc w:val="center"/>
              <w:rPr>
                <w:bCs/>
              </w:rPr>
            </w:pPr>
            <w:r w:rsidRPr="008A5315">
              <w:rPr>
                <w:bCs/>
              </w:rPr>
              <w:t>Variável dependente</w:t>
            </w:r>
          </w:p>
        </w:tc>
        <w:tc>
          <w:tcPr>
            <w:tcW w:w="935" w:type="pct"/>
            <w:shd w:val="clear" w:color="auto" w:fill="auto"/>
            <w:vAlign w:val="bottom"/>
            <w:hideMark/>
          </w:tcPr>
          <w:p w14:paraId="0B93409B" w14:textId="002CC211" w:rsidR="00A64E1A" w:rsidRPr="008A5315" w:rsidRDefault="00A64E1A" w:rsidP="00F4381E">
            <w:pPr>
              <w:rPr>
                <w:bCs/>
              </w:rPr>
            </w:pPr>
          </w:p>
        </w:tc>
      </w:tr>
      <w:tr w:rsidR="00A64E1A" w:rsidRPr="008A5315" w14:paraId="306E96A1" w14:textId="77777777" w:rsidTr="009913E2">
        <w:trPr>
          <w:trHeight w:val="600"/>
        </w:trPr>
        <w:tc>
          <w:tcPr>
            <w:tcW w:w="1666" w:type="pct"/>
            <w:shd w:val="clear" w:color="auto" w:fill="auto"/>
            <w:vAlign w:val="center"/>
            <w:hideMark/>
          </w:tcPr>
          <w:p w14:paraId="7ED173F7" w14:textId="018F2420" w:rsidR="00A64E1A" w:rsidRPr="008A5315" w:rsidRDefault="00A64E1A" w:rsidP="00F4381E">
            <w:pPr>
              <w:rPr>
                <w:bCs/>
              </w:rPr>
            </w:pPr>
            <w:proofErr w:type="spellStart"/>
            <w:r w:rsidRPr="008A5315">
              <w:rPr>
                <w:bCs/>
              </w:rPr>
              <w:t>IFDM</w:t>
            </w:r>
            <w:proofErr w:type="gramStart"/>
            <w:r w:rsidR="00655390" w:rsidRPr="008A5315">
              <w:rPr>
                <w:bCs/>
              </w:rPr>
              <w:t>_Consolidado</w:t>
            </w:r>
            <w:proofErr w:type="spellEnd"/>
            <w:proofErr w:type="gramEnd"/>
          </w:p>
        </w:tc>
        <w:tc>
          <w:tcPr>
            <w:tcW w:w="2399" w:type="pct"/>
            <w:shd w:val="clear" w:color="auto" w:fill="auto"/>
            <w:vAlign w:val="center"/>
            <w:hideMark/>
          </w:tcPr>
          <w:p w14:paraId="6C10AE95" w14:textId="0830EF11" w:rsidR="00A64E1A" w:rsidRPr="008A5315" w:rsidRDefault="00A64E1A" w:rsidP="00904EE7">
            <w:pPr>
              <w:rPr>
                <w:bCs/>
              </w:rPr>
            </w:pPr>
            <w:r w:rsidRPr="008A5315">
              <w:rPr>
                <w:bCs/>
              </w:rPr>
              <w:t>Índice de Desenvolvimento</w:t>
            </w:r>
            <w:r w:rsidR="00904EE7" w:rsidRPr="008A5315">
              <w:rPr>
                <w:bCs/>
              </w:rPr>
              <w:t xml:space="preserve"> </w:t>
            </w:r>
            <w:r w:rsidRPr="008A5315">
              <w:rPr>
                <w:bCs/>
              </w:rPr>
              <w:t>Municipal</w:t>
            </w:r>
          </w:p>
        </w:tc>
        <w:tc>
          <w:tcPr>
            <w:tcW w:w="935" w:type="pct"/>
            <w:shd w:val="clear" w:color="auto" w:fill="auto"/>
            <w:vAlign w:val="center"/>
            <w:hideMark/>
          </w:tcPr>
          <w:p w14:paraId="570686CF" w14:textId="3E770D6E" w:rsidR="00A64E1A" w:rsidRPr="008A5315" w:rsidRDefault="00A64E1A" w:rsidP="009224DC">
            <w:pPr>
              <w:jc w:val="center"/>
              <w:rPr>
                <w:bCs/>
              </w:rPr>
            </w:pPr>
            <w:r w:rsidRPr="008A5315">
              <w:rPr>
                <w:bCs/>
              </w:rPr>
              <w:t>FIRJAN</w:t>
            </w:r>
          </w:p>
        </w:tc>
      </w:tr>
      <w:tr w:rsidR="00A64E1A" w:rsidRPr="008A5315" w14:paraId="0C002919" w14:textId="77777777" w:rsidTr="009913E2">
        <w:trPr>
          <w:trHeight w:val="300"/>
        </w:trPr>
        <w:tc>
          <w:tcPr>
            <w:tcW w:w="1666" w:type="pct"/>
            <w:shd w:val="clear" w:color="auto" w:fill="auto"/>
            <w:noWrap/>
            <w:vAlign w:val="bottom"/>
            <w:hideMark/>
          </w:tcPr>
          <w:p w14:paraId="1D9579C1" w14:textId="77777777" w:rsidR="00A64E1A" w:rsidRPr="008A5315" w:rsidRDefault="00A64E1A" w:rsidP="00F4381E">
            <w:pPr>
              <w:rPr>
                <w:bCs/>
              </w:rPr>
            </w:pPr>
            <w:r w:rsidRPr="008A5315">
              <w:rPr>
                <w:bCs/>
              </w:rPr>
              <w:t xml:space="preserve"> </w:t>
            </w:r>
          </w:p>
        </w:tc>
        <w:tc>
          <w:tcPr>
            <w:tcW w:w="2399" w:type="pct"/>
            <w:shd w:val="clear" w:color="auto" w:fill="auto"/>
            <w:vAlign w:val="bottom"/>
            <w:hideMark/>
          </w:tcPr>
          <w:p w14:paraId="0A6C9DBC" w14:textId="77777777" w:rsidR="00A64E1A" w:rsidRPr="008A5315" w:rsidRDefault="00A64E1A" w:rsidP="00F4381E">
            <w:pPr>
              <w:jc w:val="center"/>
              <w:rPr>
                <w:bCs/>
              </w:rPr>
            </w:pPr>
            <w:r w:rsidRPr="008A5315">
              <w:rPr>
                <w:bCs/>
              </w:rPr>
              <w:t>Variáveis independentes</w:t>
            </w:r>
          </w:p>
        </w:tc>
        <w:tc>
          <w:tcPr>
            <w:tcW w:w="935" w:type="pct"/>
            <w:shd w:val="clear" w:color="auto" w:fill="auto"/>
            <w:vAlign w:val="bottom"/>
            <w:hideMark/>
          </w:tcPr>
          <w:p w14:paraId="03EBE6C1" w14:textId="77777777" w:rsidR="00A64E1A" w:rsidRPr="008A5315" w:rsidRDefault="00A64E1A" w:rsidP="009224DC">
            <w:pPr>
              <w:jc w:val="center"/>
              <w:rPr>
                <w:bCs/>
              </w:rPr>
            </w:pPr>
          </w:p>
        </w:tc>
      </w:tr>
      <w:tr w:rsidR="00A64E1A" w:rsidRPr="008A5315" w14:paraId="1781ADB6" w14:textId="77777777" w:rsidTr="009913E2">
        <w:trPr>
          <w:trHeight w:val="1200"/>
        </w:trPr>
        <w:tc>
          <w:tcPr>
            <w:tcW w:w="1666" w:type="pct"/>
            <w:shd w:val="clear" w:color="auto" w:fill="auto"/>
            <w:noWrap/>
            <w:vAlign w:val="center"/>
            <w:hideMark/>
          </w:tcPr>
          <w:p w14:paraId="7D355349" w14:textId="77777777" w:rsidR="00A64E1A" w:rsidRPr="008A5315" w:rsidRDefault="00A64E1A" w:rsidP="00F4381E">
            <w:r w:rsidRPr="008A5315">
              <w:t>Corrupção</w:t>
            </w:r>
          </w:p>
        </w:tc>
        <w:tc>
          <w:tcPr>
            <w:tcW w:w="2399" w:type="pct"/>
            <w:shd w:val="clear" w:color="auto" w:fill="auto"/>
            <w:vAlign w:val="center"/>
            <w:hideMark/>
          </w:tcPr>
          <w:p w14:paraId="01C901FF" w14:textId="56F63AA3" w:rsidR="00A64E1A" w:rsidRPr="008A5315" w:rsidRDefault="00A64E1A" w:rsidP="009913E2">
            <w:pPr>
              <w:jc w:val="both"/>
            </w:pPr>
            <w:r w:rsidRPr="008A5315">
              <w:t xml:space="preserve">Número de processos investigados e julgados </w:t>
            </w:r>
            <w:r w:rsidR="00902B22" w:rsidRPr="008A5315">
              <w:t>na CGU</w:t>
            </w:r>
          </w:p>
        </w:tc>
        <w:tc>
          <w:tcPr>
            <w:tcW w:w="935" w:type="pct"/>
            <w:shd w:val="clear" w:color="auto" w:fill="auto"/>
            <w:vAlign w:val="center"/>
            <w:hideMark/>
          </w:tcPr>
          <w:p w14:paraId="175E4B76" w14:textId="784B02F5" w:rsidR="00A64E1A" w:rsidRPr="008A5315" w:rsidRDefault="00A64E1A" w:rsidP="009224DC">
            <w:pPr>
              <w:jc w:val="center"/>
            </w:pPr>
            <w:r w:rsidRPr="008A5315">
              <w:t>CGU</w:t>
            </w:r>
          </w:p>
        </w:tc>
      </w:tr>
      <w:tr w:rsidR="00A64E1A" w:rsidRPr="008A5315" w14:paraId="4A426DAD" w14:textId="77777777" w:rsidTr="009913E2">
        <w:trPr>
          <w:trHeight w:val="600"/>
        </w:trPr>
        <w:tc>
          <w:tcPr>
            <w:tcW w:w="1666" w:type="pct"/>
            <w:shd w:val="clear" w:color="auto" w:fill="auto"/>
            <w:noWrap/>
            <w:vAlign w:val="center"/>
            <w:hideMark/>
          </w:tcPr>
          <w:p w14:paraId="64F1E04E" w14:textId="77777777" w:rsidR="00A64E1A" w:rsidRPr="008A5315" w:rsidRDefault="00A64E1A" w:rsidP="00F4381E">
            <w:r w:rsidRPr="008A5315">
              <w:t>Tamanho do governo</w:t>
            </w:r>
          </w:p>
        </w:tc>
        <w:tc>
          <w:tcPr>
            <w:tcW w:w="2399" w:type="pct"/>
            <w:shd w:val="clear" w:color="auto" w:fill="auto"/>
            <w:vAlign w:val="center"/>
            <w:hideMark/>
          </w:tcPr>
          <w:p w14:paraId="2E36EB3A" w14:textId="43DE24FD" w:rsidR="00A64E1A" w:rsidRPr="008A5315" w:rsidRDefault="00A64E1A" w:rsidP="009913E2">
            <w:pPr>
              <w:jc w:val="both"/>
            </w:pPr>
            <w:r w:rsidRPr="008A5315">
              <w:t xml:space="preserve">Percentual </w:t>
            </w:r>
            <w:r w:rsidR="00484A96" w:rsidRPr="008A5315">
              <w:t>das Despesas Correntes</w:t>
            </w:r>
            <w:r w:rsidRPr="008A5315">
              <w:t xml:space="preserve"> em relação ao PIB</w:t>
            </w:r>
          </w:p>
        </w:tc>
        <w:tc>
          <w:tcPr>
            <w:tcW w:w="935" w:type="pct"/>
            <w:shd w:val="clear" w:color="auto" w:fill="auto"/>
            <w:vAlign w:val="center"/>
            <w:hideMark/>
          </w:tcPr>
          <w:p w14:paraId="0BEAD036" w14:textId="70BD7493" w:rsidR="00A64E1A" w:rsidRPr="008A5315" w:rsidRDefault="00A64E1A" w:rsidP="009224DC">
            <w:pPr>
              <w:jc w:val="center"/>
            </w:pPr>
            <w:r w:rsidRPr="008A5315">
              <w:t>FINBRA</w:t>
            </w:r>
          </w:p>
        </w:tc>
      </w:tr>
      <w:tr w:rsidR="00A64E1A" w:rsidRPr="008A5315" w14:paraId="0DFAD8AD" w14:textId="77777777" w:rsidTr="009913E2">
        <w:trPr>
          <w:trHeight w:val="900"/>
        </w:trPr>
        <w:tc>
          <w:tcPr>
            <w:tcW w:w="1666" w:type="pct"/>
            <w:shd w:val="clear" w:color="auto" w:fill="auto"/>
            <w:vAlign w:val="center"/>
            <w:hideMark/>
          </w:tcPr>
          <w:p w14:paraId="71765951" w14:textId="77777777" w:rsidR="00A64E1A" w:rsidRPr="008A5315" w:rsidRDefault="00A64E1A" w:rsidP="00F4381E">
            <w:r w:rsidRPr="008A5315">
              <w:t>Produtividade dos gastos</w:t>
            </w:r>
          </w:p>
        </w:tc>
        <w:tc>
          <w:tcPr>
            <w:tcW w:w="2399" w:type="pct"/>
            <w:shd w:val="clear" w:color="auto" w:fill="auto"/>
            <w:vAlign w:val="center"/>
            <w:hideMark/>
          </w:tcPr>
          <w:p w14:paraId="644D5F9A" w14:textId="313EA0EC" w:rsidR="00A64E1A" w:rsidRPr="008A5315" w:rsidRDefault="00A64E1A" w:rsidP="009913E2">
            <w:pPr>
              <w:jc w:val="both"/>
            </w:pPr>
            <w:r w:rsidRPr="008A5315">
              <w:t>Gastos</w:t>
            </w:r>
            <w:r w:rsidR="00EB2627" w:rsidRPr="008A5315">
              <w:t xml:space="preserve"> em </w:t>
            </w:r>
            <w:r w:rsidR="00902B22" w:rsidRPr="008A5315">
              <w:t xml:space="preserve">Educação e </w:t>
            </w:r>
            <w:r w:rsidR="00EB2627" w:rsidRPr="008A5315">
              <w:t>Saúde em relação ao PIB</w:t>
            </w:r>
          </w:p>
        </w:tc>
        <w:tc>
          <w:tcPr>
            <w:tcW w:w="935" w:type="pct"/>
            <w:shd w:val="clear" w:color="auto" w:fill="auto"/>
            <w:vAlign w:val="center"/>
            <w:hideMark/>
          </w:tcPr>
          <w:p w14:paraId="0759756F" w14:textId="052178C6" w:rsidR="00A64E1A" w:rsidRPr="008A5315" w:rsidRDefault="00A64E1A" w:rsidP="009224DC">
            <w:pPr>
              <w:jc w:val="center"/>
            </w:pPr>
            <w:r w:rsidRPr="008A5315">
              <w:t>FINBRA</w:t>
            </w:r>
            <w:r w:rsidR="00902B22" w:rsidRPr="008A5315">
              <w:t>/SICONFI</w:t>
            </w:r>
          </w:p>
        </w:tc>
      </w:tr>
      <w:tr w:rsidR="00A64E1A" w:rsidRPr="008A5315" w14:paraId="1464EF08" w14:textId="77777777" w:rsidTr="009913E2">
        <w:trPr>
          <w:trHeight w:val="300"/>
        </w:trPr>
        <w:tc>
          <w:tcPr>
            <w:tcW w:w="1666" w:type="pct"/>
            <w:shd w:val="clear" w:color="auto" w:fill="auto"/>
            <w:noWrap/>
            <w:vAlign w:val="center"/>
            <w:hideMark/>
          </w:tcPr>
          <w:p w14:paraId="6B5724E9" w14:textId="77777777" w:rsidR="00A64E1A" w:rsidRPr="008A5315" w:rsidRDefault="00A64E1A" w:rsidP="00F4381E">
            <w:r w:rsidRPr="008A5315">
              <w:t xml:space="preserve">Renda </w:t>
            </w:r>
            <w:r w:rsidRPr="008A5315">
              <w:rPr>
                <w:i/>
                <w:iCs/>
              </w:rPr>
              <w:t>per capita</w:t>
            </w:r>
          </w:p>
        </w:tc>
        <w:tc>
          <w:tcPr>
            <w:tcW w:w="2399" w:type="pct"/>
            <w:shd w:val="clear" w:color="auto" w:fill="auto"/>
            <w:vAlign w:val="center"/>
            <w:hideMark/>
          </w:tcPr>
          <w:p w14:paraId="092FE41A" w14:textId="77777777" w:rsidR="00A64E1A" w:rsidRPr="008A5315" w:rsidRDefault="00A64E1A" w:rsidP="00F4381E">
            <w:r w:rsidRPr="008A5315">
              <w:t xml:space="preserve">PIB municipal </w:t>
            </w:r>
            <w:r w:rsidRPr="008A5315">
              <w:rPr>
                <w:i/>
                <w:iCs/>
              </w:rPr>
              <w:t>per capita</w:t>
            </w:r>
          </w:p>
        </w:tc>
        <w:tc>
          <w:tcPr>
            <w:tcW w:w="935" w:type="pct"/>
            <w:shd w:val="clear" w:color="auto" w:fill="auto"/>
            <w:vAlign w:val="center"/>
            <w:hideMark/>
          </w:tcPr>
          <w:p w14:paraId="0D4E6AD4" w14:textId="19122DA5" w:rsidR="00A64E1A" w:rsidRPr="008A5315" w:rsidRDefault="00A64E1A" w:rsidP="009224DC">
            <w:pPr>
              <w:jc w:val="center"/>
            </w:pPr>
            <w:r w:rsidRPr="008A5315">
              <w:t>FINBRA</w:t>
            </w:r>
          </w:p>
        </w:tc>
      </w:tr>
      <w:tr w:rsidR="00A64E1A" w:rsidRPr="008A5315" w14:paraId="502CCA1C" w14:textId="77777777" w:rsidTr="009913E2">
        <w:trPr>
          <w:trHeight w:val="600"/>
        </w:trPr>
        <w:tc>
          <w:tcPr>
            <w:tcW w:w="1666" w:type="pct"/>
            <w:shd w:val="clear" w:color="auto" w:fill="auto"/>
            <w:noWrap/>
            <w:vAlign w:val="center"/>
            <w:hideMark/>
          </w:tcPr>
          <w:p w14:paraId="7F32B93B" w14:textId="77777777" w:rsidR="00A64E1A" w:rsidRPr="008A5315" w:rsidRDefault="00A64E1A" w:rsidP="00F4381E">
            <w:r w:rsidRPr="008A5315">
              <w:lastRenderedPageBreak/>
              <w:t>População</w:t>
            </w:r>
          </w:p>
        </w:tc>
        <w:tc>
          <w:tcPr>
            <w:tcW w:w="2399" w:type="pct"/>
            <w:shd w:val="clear" w:color="auto" w:fill="auto"/>
            <w:vAlign w:val="center"/>
            <w:hideMark/>
          </w:tcPr>
          <w:p w14:paraId="57F8F688" w14:textId="77777777" w:rsidR="00A64E1A" w:rsidRPr="008A5315" w:rsidRDefault="00A64E1A" w:rsidP="00F4381E">
            <w:r w:rsidRPr="008A5315">
              <w:t>Número de habitantes municipal</w:t>
            </w:r>
          </w:p>
        </w:tc>
        <w:tc>
          <w:tcPr>
            <w:tcW w:w="935" w:type="pct"/>
            <w:shd w:val="clear" w:color="auto" w:fill="auto"/>
            <w:vAlign w:val="center"/>
            <w:hideMark/>
          </w:tcPr>
          <w:p w14:paraId="0516A10B" w14:textId="696DD2A1" w:rsidR="00A64E1A" w:rsidRPr="008A5315" w:rsidRDefault="00A64E1A" w:rsidP="009224DC">
            <w:pPr>
              <w:jc w:val="center"/>
            </w:pPr>
            <w:r w:rsidRPr="008A5315">
              <w:t>FINBRA</w:t>
            </w:r>
          </w:p>
        </w:tc>
      </w:tr>
      <w:tr w:rsidR="00A64E1A" w:rsidRPr="008A5315" w14:paraId="3D2F4699" w14:textId="77777777" w:rsidTr="009913E2">
        <w:trPr>
          <w:trHeight w:val="600"/>
        </w:trPr>
        <w:tc>
          <w:tcPr>
            <w:tcW w:w="1666" w:type="pct"/>
            <w:shd w:val="clear" w:color="auto" w:fill="auto"/>
            <w:noWrap/>
            <w:vAlign w:val="center"/>
            <w:hideMark/>
          </w:tcPr>
          <w:p w14:paraId="615266F7" w14:textId="77777777" w:rsidR="00A64E1A" w:rsidRPr="008A5315" w:rsidRDefault="00A64E1A" w:rsidP="00F4381E">
            <w:r w:rsidRPr="008A5315">
              <w:t>População idosa</w:t>
            </w:r>
          </w:p>
        </w:tc>
        <w:tc>
          <w:tcPr>
            <w:tcW w:w="2399" w:type="pct"/>
            <w:shd w:val="clear" w:color="auto" w:fill="auto"/>
            <w:vAlign w:val="center"/>
            <w:hideMark/>
          </w:tcPr>
          <w:p w14:paraId="314506EB" w14:textId="77777777" w:rsidR="00A64E1A" w:rsidRPr="008A5315" w:rsidRDefault="00A64E1A" w:rsidP="00F4381E">
            <w:r w:rsidRPr="008A5315">
              <w:t>Número de idosos do município</w:t>
            </w:r>
          </w:p>
        </w:tc>
        <w:tc>
          <w:tcPr>
            <w:tcW w:w="935" w:type="pct"/>
            <w:shd w:val="clear" w:color="auto" w:fill="auto"/>
            <w:vAlign w:val="center"/>
            <w:hideMark/>
          </w:tcPr>
          <w:p w14:paraId="40274282" w14:textId="35365377" w:rsidR="00A64E1A" w:rsidRPr="008A5315" w:rsidRDefault="00A64E1A" w:rsidP="009224DC">
            <w:pPr>
              <w:jc w:val="center"/>
            </w:pPr>
            <w:r w:rsidRPr="008A5315">
              <w:t>SISAP</w:t>
            </w:r>
          </w:p>
        </w:tc>
      </w:tr>
    </w:tbl>
    <w:p w14:paraId="59B43F76" w14:textId="77777777" w:rsidR="00A64E1A" w:rsidRPr="008A5315" w:rsidRDefault="00A64E1A" w:rsidP="00A64E1A">
      <w:pPr>
        <w:rPr>
          <w:sz w:val="20"/>
        </w:rPr>
      </w:pPr>
      <w:r w:rsidRPr="008A5315">
        <w:rPr>
          <w:sz w:val="20"/>
        </w:rPr>
        <w:fldChar w:fldCharType="end"/>
      </w:r>
      <w:r w:rsidRPr="008A5315">
        <w:rPr>
          <w:sz w:val="20"/>
        </w:rPr>
        <w:t>Fonte: Elaboração Própria.</w:t>
      </w:r>
    </w:p>
    <w:p w14:paraId="7C78D7FB" w14:textId="0A067B7A" w:rsidR="00C92CCF" w:rsidRPr="008A5315" w:rsidRDefault="00421C7B" w:rsidP="006C7EB4">
      <w:pPr>
        <w:spacing w:before="240" w:line="360" w:lineRule="auto"/>
        <w:jc w:val="both"/>
      </w:pPr>
      <w:r w:rsidRPr="008A5315">
        <w:tab/>
      </w:r>
      <w:r w:rsidR="007E3C18" w:rsidRPr="008A5315">
        <w:t>O índice IFDM é a variável indicativa de pobreza no estudo. A escolha dessa variável</w:t>
      </w:r>
      <w:r w:rsidR="00CA35C9" w:rsidRPr="008A5315">
        <w:t xml:space="preserve"> como indicador de pobreza se justifica devido à ausência, em nível municipal</w:t>
      </w:r>
      <w:r w:rsidR="005769BC" w:rsidRPr="008A5315">
        <w:t xml:space="preserve"> e anual</w:t>
      </w:r>
      <w:r w:rsidR="00CA35C9" w:rsidRPr="008A5315">
        <w:t xml:space="preserve">, de </w:t>
      </w:r>
      <w:r w:rsidR="009613C9" w:rsidRPr="008A5315">
        <w:t>outras medidas</w:t>
      </w:r>
      <w:r w:rsidR="00CA35C9" w:rsidRPr="008A5315">
        <w:t xml:space="preserve"> mais usais, como por</w:t>
      </w:r>
      <w:r w:rsidR="00501A70" w:rsidRPr="008A5315">
        <w:t xml:space="preserve"> exemplo os indicadores </w:t>
      </w:r>
      <w:r w:rsidR="009613C9" w:rsidRPr="008A5315">
        <w:rPr>
          <w:i/>
          <w:sz w:val="28"/>
          <w:szCs w:val="28"/>
        </w:rPr>
        <w:t>p</w:t>
      </w:r>
      <w:r w:rsidR="009613C9" w:rsidRPr="008A5315">
        <w:rPr>
          <w:i/>
          <w:sz w:val="28"/>
          <w:szCs w:val="28"/>
          <w:vertAlign w:val="subscript"/>
        </w:rPr>
        <w:t>0</w:t>
      </w:r>
      <w:r w:rsidR="00501A70" w:rsidRPr="008A5315">
        <w:rPr>
          <w:i/>
          <w:sz w:val="28"/>
          <w:szCs w:val="28"/>
        </w:rPr>
        <w:t xml:space="preserve"> </w:t>
      </w:r>
      <w:r w:rsidR="00501A70" w:rsidRPr="008A5315">
        <w:t>(</w:t>
      </w:r>
      <w:r w:rsidR="00D03CFC" w:rsidRPr="008A5315">
        <w:t>p</w:t>
      </w:r>
      <w:r w:rsidR="00501A70" w:rsidRPr="008A5315">
        <w:t>roporção de pobres)</w:t>
      </w:r>
      <w:r w:rsidR="009613C9" w:rsidRPr="008A5315">
        <w:rPr>
          <w:i/>
          <w:sz w:val="28"/>
          <w:szCs w:val="28"/>
        </w:rPr>
        <w:t>, p</w:t>
      </w:r>
      <w:r w:rsidR="009613C9" w:rsidRPr="008A5315">
        <w:rPr>
          <w:i/>
          <w:sz w:val="28"/>
          <w:szCs w:val="28"/>
          <w:vertAlign w:val="subscript"/>
        </w:rPr>
        <w:t>1</w:t>
      </w:r>
      <w:r w:rsidR="009613C9" w:rsidRPr="008A5315">
        <w:rPr>
          <w:i/>
          <w:sz w:val="28"/>
          <w:szCs w:val="28"/>
        </w:rPr>
        <w:t xml:space="preserve"> </w:t>
      </w:r>
      <w:r w:rsidR="00501A70" w:rsidRPr="008A5315">
        <w:t>(hiato médio da pobreza)</w:t>
      </w:r>
      <w:r w:rsidR="00501A70" w:rsidRPr="008A5315">
        <w:rPr>
          <w:i/>
        </w:rPr>
        <w:t xml:space="preserve"> </w:t>
      </w:r>
      <w:r w:rsidR="009613C9" w:rsidRPr="008A5315">
        <w:t>e</w:t>
      </w:r>
      <w:r w:rsidR="009613C9" w:rsidRPr="008A5315">
        <w:rPr>
          <w:i/>
          <w:sz w:val="28"/>
          <w:szCs w:val="28"/>
        </w:rPr>
        <w:t xml:space="preserve"> p</w:t>
      </w:r>
      <w:r w:rsidR="009613C9" w:rsidRPr="008A5315">
        <w:rPr>
          <w:i/>
          <w:sz w:val="28"/>
          <w:szCs w:val="28"/>
          <w:vertAlign w:val="subscript"/>
        </w:rPr>
        <w:t>2</w:t>
      </w:r>
      <w:r w:rsidR="00501A70" w:rsidRPr="008A5315">
        <w:rPr>
          <w:i/>
          <w:sz w:val="28"/>
          <w:szCs w:val="28"/>
        </w:rPr>
        <w:t xml:space="preserve"> </w:t>
      </w:r>
      <w:r w:rsidR="00501A70" w:rsidRPr="008A5315">
        <w:t>(hiato quadrático da pobreza)</w:t>
      </w:r>
      <w:r w:rsidR="009613C9" w:rsidRPr="008A5315">
        <w:rPr>
          <w:sz w:val="28"/>
          <w:szCs w:val="28"/>
          <w:vertAlign w:val="subscript"/>
        </w:rPr>
        <w:t xml:space="preserve"> </w:t>
      </w:r>
      <w:r w:rsidR="00501A70" w:rsidRPr="008A5315">
        <w:t xml:space="preserve">da classe FGT (Foster, </w:t>
      </w:r>
      <w:proofErr w:type="spellStart"/>
      <w:r w:rsidR="00501A70" w:rsidRPr="008A5315">
        <w:t>Greer</w:t>
      </w:r>
      <w:proofErr w:type="spellEnd"/>
      <w:r w:rsidR="00501A70" w:rsidRPr="008A5315">
        <w:t xml:space="preserve"> e </w:t>
      </w:r>
      <w:proofErr w:type="spellStart"/>
      <w:r w:rsidR="00501A70" w:rsidRPr="008A5315">
        <w:t>Thorbeck</w:t>
      </w:r>
      <w:proofErr w:type="spellEnd"/>
      <w:r w:rsidR="00501A70" w:rsidRPr="008A5315">
        <w:t>)</w:t>
      </w:r>
      <w:r w:rsidR="00D03CFC" w:rsidRPr="008A5315">
        <w:t>,</w:t>
      </w:r>
      <w:r w:rsidR="00501A70" w:rsidRPr="008A5315">
        <w:t xml:space="preserve"> </w:t>
      </w:r>
      <w:r w:rsidR="009613C9" w:rsidRPr="008A5315">
        <w:t>que abordam unicamente a dimensão monetária</w:t>
      </w:r>
      <w:r w:rsidR="009613C9" w:rsidRPr="008A5315">
        <w:rPr>
          <w:sz w:val="28"/>
          <w:szCs w:val="28"/>
        </w:rPr>
        <w:t>.</w:t>
      </w:r>
      <w:r w:rsidR="00AD4333" w:rsidRPr="008A5315">
        <w:rPr>
          <w:sz w:val="28"/>
          <w:szCs w:val="28"/>
        </w:rPr>
        <w:t xml:space="preserve"> </w:t>
      </w:r>
      <w:r w:rsidR="001A43FF" w:rsidRPr="008A5315">
        <w:t>Sobre esse aspecto</w:t>
      </w:r>
      <w:r w:rsidR="001A43FF" w:rsidRPr="008A5315">
        <w:rPr>
          <w:sz w:val="28"/>
          <w:szCs w:val="28"/>
        </w:rPr>
        <w:t xml:space="preserve">, </w:t>
      </w:r>
      <w:r w:rsidR="00AD4333" w:rsidRPr="008A5315">
        <w:t>uma importante vantagem do IFDM</w:t>
      </w:r>
      <w:r w:rsidR="0096094D" w:rsidRPr="008A5315">
        <w:t xml:space="preserve"> </w:t>
      </w:r>
      <w:r w:rsidR="00655390" w:rsidRPr="008A5315">
        <w:t xml:space="preserve">Consolidado </w:t>
      </w:r>
      <w:r w:rsidR="0096094D" w:rsidRPr="008A5315">
        <w:t>em relação aos indicadores mencionados acima,</w:t>
      </w:r>
      <w:r w:rsidR="00AD4333" w:rsidRPr="008A5315">
        <w:t xml:space="preserve"> repousa no fato des</w:t>
      </w:r>
      <w:r w:rsidR="00655390" w:rsidRPr="008A5315">
        <w:t>t</w:t>
      </w:r>
      <w:r w:rsidR="00AD4333" w:rsidRPr="008A5315">
        <w:t xml:space="preserve">e índice </w:t>
      </w:r>
      <w:r w:rsidR="00655390" w:rsidRPr="008A5315">
        <w:t>levar em conta</w:t>
      </w:r>
      <w:r w:rsidR="00AD4333" w:rsidRPr="008A5315">
        <w:t xml:space="preserve"> </w:t>
      </w:r>
      <w:r w:rsidR="00655390" w:rsidRPr="008A5315">
        <w:t xml:space="preserve">três </w:t>
      </w:r>
      <w:r w:rsidR="00AD4333" w:rsidRPr="008A5315">
        <w:t>indicadores</w:t>
      </w:r>
      <w:r w:rsidR="00655390" w:rsidRPr="008A5315">
        <w:t>:</w:t>
      </w:r>
      <w:r w:rsidR="00AD4333" w:rsidRPr="008A5315">
        <w:t xml:space="preserve"> </w:t>
      </w:r>
      <w:r w:rsidR="00655390" w:rsidRPr="008A5315">
        <w:t>emprego e</w:t>
      </w:r>
      <w:r w:rsidR="00AD4333" w:rsidRPr="008A5315">
        <w:t xml:space="preserve"> renda, </w:t>
      </w:r>
      <w:r w:rsidR="001A43FF" w:rsidRPr="008A5315">
        <w:t>saúde e educaç</w:t>
      </w:r>
      <w:r w:rsidR="0096094D" w:rsidRPr="008A5315">
        <w:t>ão</w:t>
      </w:r>
      <w:r w:rsidR="00655390" w:rsidRPr="008A5315">
        <w:t xml:space="preserve">, </w:t>
      </w:r>
      <w:r w:rsidR="0096094D" w:rsidRPr="008A5315">
        <w:t>sendo possível</w:t>
      </w:r>
      <w:r w:rsidR="00655390" w:rsidRPr="008A5315">
        <w:t>,</w:t>
      </w:r>
      <w:r w:rsidR="001A43FF" w:rsidRPr="008A5315">
        <w:t xml:space="preserve"> assim</w:t>
      </w:r>
      <w:r w:rsidR="00655390" w:rsidRPr="008A5315">
        <w:t>,</w:t>
      </w:r>
      <w:r w:rsidR="001A43FF" w:rsidRPr="008A5315">
        <w:t xml:space="preserve"> </w:t>
      </w:r>
      <w:r w:rsidR="0096094D" w:rsidRPr="008A5315">
        <w:t xml:space="preserve">identificar </w:t>
      </w:r>
      <w:r w:rsidR="001A43FF" w:rsidRPr="008A5315">
        <w:t>outros tipos de privação al</w:t>
      </w:r>
      <w:r w:rsidR="0096094D" w:rsidRPr="008A5315">
        <w:t>ém daquela relativa à</w:t>
      </w:r>
      <w:r w:rsidR="001A43FF" w:rsidRPr="008A5315">
        <w:t xml:space="preserve"> renda.</w:t>
      </w:r>
    </w:p>
    <w:p w14:paraId="2CD728E4" w14:textId="56F49015" w:rsidR="007E3C18" w:rsidRPr="008A5315" w:rsidRDefault="004A06E8" w:rsidP="000C2FDC">
      <w:pPr>
        <w:spacing w:line="360" w:lineRule="auto"/>
        <w:ind w:firstLine="709"/>
        <w:jc w:val="both"/>
      </w:pPr>
      <w:r w:rsidRPr="008A5315">
        <w:t>É oportuno mencionar que o</w:t>
      </w:r>
      <w:r w:rsidR="00A87262" w:rsidRPr="008A5315">
        <w:t xml:space="preserve"> IFDM varia de 0 (mínimo) </w:t>
      </w:r>
      <w:r w:rsidR="00DE05AC" w:rsidRPr="008A5315">
        <w:t>a</w:t>
      </w:r>
      <w:r w:rsidR="00A87262" w:rsidRPr="008A5315">
        <w:t xml:space="preserve"> 1 (máximo) e categoriza as localidades em quatro estágios de desenvolvimento: de 0 a 0,4 (baixo), de 0,4 a 0,6 (regular), de 0,6 a 0,8 (moderado) e de 0,8 a 1 (alto).</w:t>
      </w:r>
      <w:r w:rsidR="007E3C18" w:rsidRPr="008A5315">
        <w:t xml:space="preserve"> </w:t>
      </w:r>
      <w:r w:rsidR="00535C42" w:rsidRPr="008A5315">
        <w:t>A Tabela 1</w:t>
      </w:r>
      <w:r w:rsidR="00A87262" w:rsidRPr="008A5315">
        <w:t xml:space="preserve"> apresenta a média do IFDM por região e para o Brasil</w:t>
      </w:r>
      <w:r w:rsidR="007121FD" w:rsidRPr="008A5315">
        <w:t xml:space="preserve"> para o período analisado</w:t>
      </w:r>
      <w:r w:rsidR="00A87262" w:rsidRPr="008A5315">
        <w:t xml:space="preserve">. </w:t>
      </w:r>
    </w:p>
    <w:p w14:paraId="0AD0BB37" w14:textId="77777777" w:rsidR="00517660" w:rsidRPr="008A5315" w:rsidRDefault="00517660" w:rsidP="00FC68AA">
      <w:pPr>
        <w:jc w:val="both"/>
      </w:pPr>
    </w:p>
    <w:p w14:paraId="102FD0AD" w14:textId="265AF75F" w:rsidR="00A87262" w:rsidRPr="008A5315" w:rsidRDefault="002D076C" w:rsidP="00FC68AA">
      <w:pPr>
        <w:jc w:val="both"/>
      </w:pPr>
      <w:r w:rsidRPr="008A5315">
        <w:t>Tabela 1</w:t>
      </w:r>
      <w:r w:rsidR="00A87262" w:rsidRPr="008A5315">
        <w:t>: Índice de Desenvolvimento Municipal Médio por Região</w:t>
      </w:r>
      <w:r w:rsidR="007E3C18" w:rsidRPr="008A5315">
        <w:t>.</w:t>
      </w:r>
    </w:p>
    <w:tbl>
      <w:tblPr>
        <w:tblW w:w="6415" w:type="dxa"/>
        <w:tblCellMar>
          <w:left w:w="70" w:type="dxa"/>
          <w:right w:w="70" w:type="dxa"/>
        </w:tblCellMar>
        <w:tblLook w:val="04A0" w:firstRow="1" w:lastRow="0" w:firstColumn="1" w:lastColumn="0" w:noHBand="0" w:noVBand="1"/>
      </w:tblPr>
      <w:tblGrid>
        <w:gridCol w:w="1540"/>
        <w:gridCol w:w="920"/>
        <w:gridCol w:w="1767"/>
        <w:gridCol w:w="1074"/>
        <w:gridCol w:w="1114"/>
      </w:tblGrid>
      <w:tr w:rsidR="00A87262" w:rsidRPr="008A5315" w14:paraId="4A5F67F0" w14:textId="77777777" w:rsidTr="00FC68AA">
        <w:trPr>
          <w:trHeight w:val="20"/>
        </w:trPr>
        <w:tc>
          <w:tcPr>
            <w:tcW w:w="1540" w:type="dxa"/>
            <w:tcBorders>
              <w:top w:val="single" w:sz="4" w:space="0" w:color="auto"/>
              <w:left w:val="nil"/>
              <w:bottom w:val="single" w:sz="4" w:space="0" w:color="auto"/>
              <w:right w:val="nil"/>
            </w:tcBorders>
            <w:shd w:val="clear" w:color="auto" w:fill="auto"/>
            <w:noWrap/>
            <w:vAlign w:val="bottom"/>
            <w:hideMark/>
          </w:tcPr>
          <w:p w14:paraId="1565477B" w14:textId="77777777" w:rsidR="00A87262" w:rsidRPr="008A5315" w:rsidRDefault="00A87262" w:rsidP="00FC68AA">
            <w:pPr>
              <w:snapToGrid w:val="0"/>
              <w:contextualSpacing/>
              <w:jc w:val="center"/>
              <w:rPr>
                <w:bCs/>
              </w:rPr>
            </w:pPr>
            <w:r w:rsidRPr="008A5315">
              <w:rPr>
                <w:bCs/>
              </w:rPr>
              <w:t>Região</w:t>
            </w:r>
          </w:p>
        </w:tc>
        <w:tc>
          <w:tcPr>
            <w:tcW w:w="920" w:type="dxa"/>
            <w:tcBorders>
              <w:top w:val="single" w:sz="4" w:space="0" w:color="auto"/>
              <w:left w:val="nil"/>
              <w:bottom w:val="single" w:sz="4" w:space="0" w:color="auto"/>
              <w:right w:val="nil"/>
            </w:tcBorders>
            <w:shd w:val="clear" w:color="auto" w:fill="auto"/>
            <w:noWrap/>
            <w:vAlign w:val="bottom"/>
            <w:hideMark/>
          </w:tcPr>
          <w:p w14:paraId="6973E9DC" w14:textId="77777777" w:rsidR="00A87262" w:rsidRPr="008A5315" w:rsidRDefault="00A87262" w:rsidP="00FC68AA">
            <w:pPr>
              <w:snapToGrid w:val="0"/>
              <w:contextualSpacing/>
              <w:jc w:val="center"/>
              <w:rPr>
                <w:bCs/>
              </w:rPr>
            </w:pPr>
            <w:r w:rsidRPr="008A5315">
              <w:rPr>
                <w:bCs/>
              </w:rPr>
              <w:t>Média</w:t>
            </w:r>
          </w:p>
        </w:tc>
        <w:tc>
          <w:tcPr>
            <w:tcW w:w="1767" w:type="dxa"/>
            <w:tcBorders>
              <w:top w:val="single" w:sz="4" w:space="0" w:color="auto"/>
              <w:left w:val="nil"/>
              <w:bottom w:val="single" w:sz="4" w:space="0" w:color="auto"/>
              <w:right w:val="nil"/>
            </w:tcBorders>
            <w:shd w:val="clear" w:color="auto" w:fill="auto"/>
            <w:noWrap/>
            <w:vAlign w:val="bottom"/>
            <w:hideMark/>
          </w:tcPr>
          <w:p w14:paraId="1EDF9542" w14:textId="77777777" w:rsidR="00A87262" w:rsidRPr="008A5315" w:rsidRDefault="00A87262" w:rsidP="00FC68AA">
            <w:pPr>
              <w:snapToGrid w:val="0"/>
              <w:contextualSpacing/>
              <w:jc w:val="center"/>
              <w:rPr>
                <w:bCs/>
              </w:rPr>
            </w:pPr>
            <w:r w:rsidRPr="008A5315">
              <w:rPr>
                <w:bCs/>
              </w:rPr>
              <w:t>Desvio-Padrão</w:t>
            </w:r>
          </w:p>
        </w:tc>
        <w:tc>
          <w:tcPr>
            <w:tcW w:w="1074" w:type="dxa"/>
            <w:tcBorders>
              <w:top w:val="single" w:sz="4" w:space="0" w:color="auto"/>
              <w:left w:val="nil"/>
              <w:bottom w:val="single" w:sz="4" w:space="0" w:color="auto"/>
              <w:right w:val="nil"/>
            </w:tcBorders>
            <w:shd w:val="clear" w:color="auto" w:fill="auto"/>
            <w:noWrap/>
            <w:vAlign w:val="bottom"/>
            <w:hideMark/>
          </w:tcPr>
          <w:p w14:paraId="026DD3E1" w14:textId="77777777" w:rsidR="00A87262" w:rsidRPr="008A5315" w:rsidRDefault="00A87262" w:rsidP="00FC68AA">
            <w:pPr>
              <w:snapToGrid w:val="0"/>
              <w:contextualSpacing/>
              <w:jc w:val="center"/>
              <w:rPr>
                <w:bCs/>
              </w:rPr>
            </w:pPr>
            <w:r w:rsidRPr="008A5315">
              <w:rPr>
                <w:bCs/>
              </w:rPr>
              <w:t>Mínimo</w:t>
            </w:r>
          </w:p>
        </w:tc>
        <w:tc>
          <w:tcPr>
            <w:tcW w:w="1114" w:type="dxa"/>
            <w:tcBorders>
              <w:top w:val="single" w:sz="4" w:space="0" w:color="auto"/>
              <w:left w:val="nil"/>
              <w:bottom w:val="single" w:sz="4" w:space="0" w:color="auto"/>
              <w:right w:val="nil"/>
            </w:tcBorders>
            <w:shd w:val="clear" w:color="auto" w:fill="auto"/>
            <w:noWrap/>
            <w:vAlign w:val="bottom"/>
            <w:hideMark/>
          </w:tcPr>
          <w:p w14:paraId="4A661C7B" w14:textId="77777777" w:rsidR="00A87262" w:rsidRPr="008A5315" w:rsidRDefault="00A87262" w:rsidP="00FC68AA">
            <w:pPr>
              <w:snapToGrid w:val="0"/>
              <w:contextualSpacing/>
              <w:jc w:val="center"/>
              <w:rPr>
                <w:bCs/>
              </w:rPr>
            </w:pPr>
            <w:r w:rsidRPr="008A5315">
              <w:rPr>
                <w:bCs/>
              </w:rPr>
              <w:t>Máximo</w:t>
            </w:r>
          </w:p>
        </w:tc>
      </w:tr>
      <w:tr w:rsidR="00A87262" w:rsidRPr="008A5315" w14:paraId="5C746BA9" w14:textId="77777777" w:rsidTr="00FC68AA">
        <w:trPr>
          <w:trHeight w:val="20"/>
        </w:trPr>
        <w:tc>
          <w:tcPr>
            <w:tcW w:w="1540" w:type="dxa"/>
            <w:tcBorders>
              <w:top w:val="nil"/>
              <w:left w:val="nil"/>
              <w:bottom w:val="nil"/>
              <w:right w:val="nil"/>
            </w:tcBorders>
            <w:shd w:val="clear" w:color="auto" w:fill="auto"/>
            <w:noWrap/>
            <w:vAlign w:val="bottom"/>
            <w:hideMark/>
          </w:tcPr>
          <w:p w14:paraId="49233715" w14:textId="77777777" w:rsidR="00A87262" w:rsidRPr="008A5315" w:rsidRDefault="00A87262" w:rsidP="00FC68AA">
            <w:pPr>
              <w:snapToGrid w:val="0"/>
              <w:contextualSpacing/>
            </w:pPr>
            <w:r w:rsidRPr="008A5315">
              <w:t>Norte</w:t>
            </w:r>
          </w:p>
        </w:tc>
        <w:tc>
          <w:tcPr>
            <w:tcW w:w="920" w:type="dxa"/>
            <w:tcBorders>
              <w:top w:val="nil"/>
              <w:left w:val="nil"/>
              <w:bottom w:val="nil"/>
              <w:right w:val="nil"/>
            </w:tcBorders>
            <w:shd w:val="clear" w:color="auto" w:fill="auto"/>
            <w:noWrap/>
            <w:vAlign w:val="bottom"/>
            <w:hideMark/>
          </w:tcPr>
          <w:p w14:paraId="6704F2C0" w14:textId="7E131330" w:rsidR="00A87262" w:rsidRPr="008A5315" w:rsidRDefault="00367CB6" w:rsidP="00FC68AA">
            <w:pPr>
              <w:snapToGrid w:val="0"/>
              <w:contextualSpacing/>
              <w:jc w:val="center"/>
            </w:pPr>
            <w:r w:rsidRPr="008A5315">
              <w:t>0,532</w:t>
            </w:r>
          </w:p>
        </w:tc>
        <w:tc>
          <w:tcPr>
            <w:tcW w:w="1767" w:type="dxa"/>
            <w:tcBorders>
              <w:top w:val="nil"/>
              <w:left w:val="nil"/>
              <w:bottom w:val="nil"/>
              <w:right w:val="nil"/>
            </w:tcBorders>
            <w:shd w:val="clear" w:color="auto" w:fill="auto"/>
            <w:noWrap/>
            <w:vAlign w:val="bottom"/>
            <w:hideMark/>
          </w:tcPr>
          <w:p w14:paraId="43E18C96" w14:textId="4F13889A" w:rsidR="00A87262" w:rsidRPr="008A5315" w:rsidRDefault="00367CB6" w:rsidP="00FC68AA">
            <w:pPr>
              <w:snapToGrid w:val="0"/>
              <w:contextualSpacing/>
              <w:jc w:val="center"/>
            </w:pPr>
            <w:r w:rsidRPr="008A5315">
              <w:t>0,101</w:t>
            </w:r>
          </w:p>
        </w:tc>
        <w:tc>
          <w:tcPr>
            <w:tcW w:w="1074" w:type="dxa"/>
            <w:tcBorders>
              <w:top w:val="nil"/>
              <w:left w:val="nil"/>
              <w:bottom w:val="nil"/>
              <w:right w:val="nil"/>
            </w:tcBorders>
            <w:shd w:val="clear" w:color="auto" w:fill="auto"/>
            <w:noWrap/>
            <w:vAlign w:val="bottom"/>
            <w:hideMark/>
          </w:tcPr>
          <w:p w14:paraId="3EDB325B" w14:textId="427F2431" w:rsidR="00A87262" w:rsidRPr="008A5315" w:rsidRDefault="00367CB6" w:rsidP="00FC68AA">
            <w:pPr>
              <w:snapToGrid w:val="0"/>
              <w:contextualSpacing/>
              <w:jc w:val="center"/>
            </w:pPr>
            <w:r w:rsidRPr="008A5315">
              <w:t>0,240</w:t>
            </w:r>
          </w:p>
        </w:tc>
        <w:tc>
          <w:tcPr>
            <w:tcW w:w="1114" w:type="dxa"/>
            <w:tcBorders>
              <w:top w:val="nil"/>
              <w:left w:val="nil"/>
              <w:bottom w:val="nil"/>
              <w:right w:val="nil"/>
            </w:tcBorders>
            <w:shd w:val="clear" w:color="auto" w:fill="auto"/>
            <w:noWrap/>
            <w:vAlign w:val="bottom"/>
            <w:hideMark/>
          </w:tcPr>
          <w:p w14:paraId="7A279B0E" w14:textId="2AD9214D" w:rsidR="00A87262" w:rsidRPr="008A5315" w:rsidRDefault="00367CB6" w:rsidP="00FC68AA">
            <w:pPr>
              <w:snapToGrid w:val="0"/>
              <w:contextualSpacing/>
              <w:jc w:val="center"/>
            </w:pPr>
            <w:r w:rsidRPr="008A5315">
              <w:t>0,858</w:t>
            </w:r>
          </w:p>
        </w:tc>
      </w:tr>
      <w:tr w:rsidR="00A87262" w:rsidRPr="008A5315" w14:paraId="1B103721" w14:textId="77777777" w:rsidTr="00FC68AA">
        <w:trPr>
          <w:trHeight w:val="20"/>
        </w:trPr>
        <w:tc>
          <w:tcPr>
            <w:tcW w:w="1540" w:type="dxa"/>
            <w:tcBorders>
              <w:top w:val="nil"/>
              <w:left w:val="nil"/>
              <w:bottom w:val="nil"/>
              <w:right w:val="nil"/>
            </w:tcBorders>
            <w:shd w:val="clear" w:color="auto" w:fill="auto"/>
            <w:noWrap/>
            <w:vAlign w:val="bottom"/>
            <w:hideMark/>
          </w:tcPr>
          <w:p w14:paraId="79530ABB" w14:textId="77777777" w:rsidR="00A87262" w:rsidRPr="008A5315" w:rsidRDefault="00A87262" w:rsidP="00FC68AA">
            <w:pPr>
              <w:snapToGrid w:val="0"/>
              <w:contextualSpacing/>
            </w:pPr>
            <w:r w:rsidRPr="008A5315">
              <w:t>Nordeste</w:t>
            </w:r>
          </w:p>
        </w:tc>
        <w:tc>
          <w:tcPr>
            <w:tcW w:w="920" w:type="dxa"/>
            <w:tcBorders>
              <w:top w:val="nil"/>
              <w:left w:val="nil"/>
              <w:bottom w:val="nil"/>
              <w:right w:val="nil"/>
            </w:tcBorders>
            <w:shd w:val="clear" w:color="auto" w:fill="auto"/>
            <w:noWrap/>
            <w:vAlign w:val="bottom"/>
            <w:hideMark/>
          </w:tcPr>
          <w:p w14:paraId="01CFAE0F" w14:textId="35E872A8" w:rsidR="00A87262" w:rsidRPr="008A5315" w:rsidRDefault="00367CB6" w:rsidP="00FC68AA">
            <w:pPr>
              <w:snapToGrid w:val="0"/>
              <w:contextualSpacing/>
              <w:jc w:val="center"/>
            </w:pPr>
            <w:r w:rsidRPr="008A5315">
              <w:t>0,535</w:t>
            </w:r>
          </w:p>
        </w:tc>
        <w:tc>
          <w:tcPr>
            <w:tcW w:w="1767" w:type="dxa"/>
            <w:tcBorders>
              <w:top w:val="nil"/>
              <w:left w:val="nil"/>
              <w:bottom w:val="nil"/>
              <w:right w:val="nil"/>
            </w:tcBorders>
            <w:shd w:val="clear" w:color="auto" w:fill="auto"/>
            <w:noWrap/>
            <w:vAlign w:val="bottom"/>
            <w:hideMark/>
          </w:tcPr>
          <w:p w14:paraId="17552E53" w14:textId="3B1A2126" w:rsidR="00A87262" w:rsidRPr="008A5315" w:rsidRDefault="00367CB6" w:rsidP="00FC68AA">
            <w:pPr>
              <w:snapToGrid w:val="0"/>
              <w:contextualSpacing/>
              <w:jc w:val="center"/>
            </w:pPr>
            <w:r w:rsidRPr="008A5315">
              <w:t>0,095</w:t>
            </w:r>
          </w:p>
        </w:tc>
        <w:tc>
          <w:tcPr>
            <w:tcW w:w="1074" w:type="dxa"/>
            <w:tcBorders>
              <w:top w:val="nil"/>
              <w:left w:val="nil"/>
              <w:bottom w:val="nil"/>
              <w:right w:val="nil"/>
            </w:tcBorders>
            <w:shd w:val="clear" w:color="auto" w:fill="auto"/>
            <w:noWrap/>
            <w:vAlign w:val="bottom"/>
            <w:hideMark/>
          </w:tcPr>
          <w:p w14:paraId="39DED476" w14:textId="1CB27D86" w:rsidR="00A87262" w:rsidRPr="008A5315" w:rsidRDefault="00367CB6" w:rsidP="00FC68AA">
            <w:pPr>
              <w:snapToGrid w:val="0"/>
              <w:contextualSpacing/>
              <w:jc w:val="center"/>
            </w:pPr>
            <w:r w:rsidRPr="008A5315">
              <w:t>0,186</w:t>
            </w:r>
          </w:p>
        </w:tc>
        <w:tc>
          <w:tcPr>
            <w:tcW w:w="1114" w:type="dxa"/>
            <w:tcBorders>
              <w:top w:val="nil"/>
              <w:left w:val="nil"/>
              <w:bottom w:val="nil"/>
              <w:right w:val="nil"/>
            </w:tcBorders>
            <w:shd w:val="clear" w:color="auto" w:fill="auto"/>
            <w:noWrap/>
            <w:vAlign w:val="bottom"/>
            <w:hideMark/>
          </w:tcPr>
          <w:p w14:paraId="34898716" w14:textId="0A919F5F" w:rsidR="00A87262" w:rsidRPr="008A5315" w:rsidRDefault="00367CB6" w:rsidP="00FC68AA">
            <w:pPr>
              <w:snapToGrid w:val="0"/>
              <w:contextualSpacing/>
              <w:jc w:val="center"/>
            </w:pPr>
            <w:r w:rsidRPr="008A5315">
              <w:t>0,896</w:t>
            </w:r>
          </w:p>
        </w:tc>
      </w:tr>
      <w:tr w:rsidR="00A87262" w:rsidRPr="008A5315" w14:paraId="758CEA05" w14:textId="77777777" w:rsidTr="00FC68AA">
        <w:trPr>
          <w:trHeight w:val="20"/>
        </w:trPr>
        <w:tc>
          <w:tcPr>
            <w:tcW w:w="1540" w:type="dxa"/>
            <w:tcBorders>
              <w:top w:val="nil"/>
              <w:left w:val="nil"/>
              <w:bottom w:val="nil"/>
              <w:right w:val="nil"/>
            </w:tcBorders>
            <w:shd w:val="clear" w:color="auto" w:fill="auto"/>
            <w:noWrap/>
            <w:vAlign w:val="bottom"/>
            <w:hideMark/>
          </w:tcPr>
          <w:p w14:paraId="581FA230" w14:textId="77777777" w:rsidR="00A87262" w:rsidRPr="008A5315" w:rsidRDefault="00A87262" w:rsidP="00FC68AA">
            <w:pPr>
              <w:snapToGrid w:val="0"/>
              <w:contextualSpacing/>
            </w:pPr>
            <w:r w:rsidRPr="008A5315">
              <w:t>Sudeste</w:t>
            </w:r>
          </w:p>
        </w:tc>
        <w:tc>
          <w:tcPr>
            <w:tcW w:w="920" w:type="dxa"/>
            <w:tcBorders>
              <w:top w:val="nil"/>
              <w:left w:val="nil"/>
              <w:bottom w:val="nil"/>
              <w:right w:val="nil"/>
            </w:tcBorders>
            <w:shd w:val="clear" w:color="auto" w:fill="auto"/>
            <w:noWrap/>
            <w:vAlign w:val="bottom"/>
            <w:hideMark/>
          </w:tcPr>
          <w:p w14:paraId="509DE3ED" w14:textId="38F2F924" w:rsidR="00A87262" w:rsidRPr="008A5315" w:rsidRDefault="00367CB6" w:rsidP="00FC68AA">
            <w:pPr>
              <w:snapToGrid w:val="0"/>
              <w:contextualSpacing/>
              <w:jc w:val="center"/>
            </w:pPr>
            <w:r w:rsidRPr="008A5315">
              <w:t>0,694</w:t>
            </w:r>
          </w:p>
        </w:tc>
        <w:tc>
          <w:tcPr>
            <w:tcW w:w="1767" w:type="dxa"/>
            <w:tcBorders>
              <w:top w:val="nil"/>
              <w:left w:val="nil"/>
              <w:bottom w:val="nil"/>
              <w:right w:val="nil"/>
            </w:tcBorders>
            <w:shd w:val="clear" w:color="auto" w:fill="auto"/>
            <w:noWrap/>
            <w:vAlign w:val="bottom"/>
            <w:hideMark/>
          </w:tcPr>
          <w:p w14:paraId="543DE8CB" w14:textId="426EC908" w:rsidR="00A87262" w:rsidRPr="008A5315" w:rsidRDefault="00367CB6" w:rsidP="00FC68AA">
            <w:pPr>
              <w:snapToGrid w:val="0"/>
              <w:contextualSpacing/>
              <w:jc w:val="center"/>
            </w:pPr>
            <w:r w:rsidRPr="008A5315">
              <w:t>0,097</w:t>
            </w:r>
          </w:p>
        </w:tc>
        <w:tc>
          <w:tcPr>
            <w:tcW w:w="1074" w:type="dxa"/>
            <w:tcBorders>
              <w:top w:val="nil"/>
              <w:left w:val="nil"/>
              <w:bottom w:val="nil"/>
              <w:right w:val="nil"/>
            </w:tcBorders>
            <w:shd w:val="clear" w:color="auto" w:fill="auto"/>
            <w:noWrap/>
            <w:vAlign w:val="bottom"/>
            <w:hideMark/>
          </w:tcPr>
          <w:p w14:paraId="66188A96" w14:textId="7076DB8D" w:rsidR="00A87262" w:rsidRPr="008A5315" w:rsidRDefault="00367CB6" w:rsidP="00FC68AA">
            <w:pPr>
              <w:snapToGrid w:val="0"/>
              <w:contextualSpacing/>
              <w:jc w:val="center"/>
            </w:pPr>
            <w:r w:rsidRPr="008A5315">
              <w:t>0,275</w:t>
            </w:r>
          </w:p>
        </w:tc>
        <w:tc>
          <w:tcPr>
            <w:tcW w:w="1114" w:type="dxa"/>
            <w:tcBorders>
              <w:top w:val="nil"/>
              <w:left w:val="nil"/>
              <w:bottom w:val="nil"/>
              <w:right w:val="nil"/>
            </w:tcBorders>
            <w:shd w:val="clear" w:color="auto" w:fill="auto"/>
            <w:noWrap/>
            <w:vAlign w:val="bottom"/>
            <w:hideMark/>
          </w:tcPr>
          <w:p w14:paraId="56898A56" w14:textId="6B2C6E22" w:rsidR="00A87262" w:rsidRPr="008A5315" w:rsidRDefault="00367CB6" w:rsidP="00FC68AA">
            <w:pPr>
              <w:snapToGrid w:val="0"/>
              <w:contextualSpacing/>
              <w:jc w:val="center"/>
            </w:pPr>
            <w:r w:rsidRPr="008A5315">
              <w:t>0,935</w:t>
            </w:r>
          </w:p>
        </w:tc>
      </w:tr>
      <w:tr w:rsidR="00A87262" w:rsidRPr="008A5315" w14:paraId="6F9757CA" w14:textId="77777777" w:rsidTr="00FC68AA">
        <w:trPr>
          <w:trHeight w:val="20"/>
        </w:trPr>
        <w:tc>
          <w:tcPr>
            <w:tcW w:w="1540" w:type="dxa"/>
            <w:tcBorders>
              <w:top w:val="nil"/>
              <w:left w:val="nil"/>
              <w:bottom w:val="nil"/>
              <w:right w:val="nil"/>
            </w:tcBorders>
            <w:shd w:val="clear" w:color="auto" w:fill="auto"/>
            <w:noWrap/>
            <w:vAlign w:val="bottom"/>
            <w:hideMark/>
          </w:tcPr>
          <w:p w14:paraId="39FAA76B" w14:textId="77777777" w:rsidR="00A87262" w:rsidRPr="008A5315" w:rsidRDefault="00A87262" w:rsidP="00FC68AA">
            <w:pPr>
              <w:snapToGrid w:val="0"/>
              <w:contextualSpacing/>
            </w:pPr>
            <w:r w:rsidRPr="008A5315">
              <w:t>Sul</w:t>
            </w:r>
          </w:p>
        </w:tc>
        <w:tc>
          <w:tcPr>
            <w:tcW w:w="920" w:type="dxa"/>
            <w:tcBorders>
              <w:top w:val="nil"/>
              <w:left w:val="nil"/>
              <w:bottom w:val="nil"/>
              <w:right w:val="nil"/>
            </w:tcBorders>
            <w:shd w:val="clear" w:color="auto" w:fill="auto"/>
            <w:noWrap/>
            <w:vAlign w:val="bottom"/>
            <w:hideMark/>
          </w:tcPr>
          <w:p w14:paraId="5FF59966" w14:textId="2909B299" w:rsidR="00A87262" w:rsidRPr="008A5315" w:rsidRDefault="00367CB6" w:rsidP="00FC68AA">
            <w:pPr>
              <w:snapToGrid w:val="0"/>
              <w:contextualSpacing/>
              <w:jc w:val="center"/>
            </w:pPr>
            <w:r w:rsidRPr="008A5315">
              <w:t>0,709</w:t>
            </w:r>
          </w:p>
        </w:tc>
        <w:tc>
          <w:tcPr>
            <w:tcW w:w="1767" w:type="dxa"/>
            <w:tcBorders>
              <w:top w:val="nil"/>
              <w:left w:val="nil"/>
              <w:bottom w:val="nil"/>
              <w:right w:val="nil"/>
            </w:tcBorders>
            <w:shd w:val="clear" w:color="auto" w:fill="auto"/>
            <w:noWrap/>
            <w:vAlign w:val="bottom"/>
            <w:hideMark/>
          </w:tcPr>
          <w:p w14:paraId="6C0ABC9D" w14:textId="20BF1EBF" w:rsidR="00A87262" w:rsidRPr="008A5315" w:rsidRDefault="00367CB6" w:rsidP="00FC68AA">
            <w:pPr>
              <w:snapToGrid w:val="0"/>
              <w:contextualSpacing/>
              <w:jc w:val="center"/>
            </w:pPr>
            <w:r w:rsidRPr="008A5315">
              <w:t>0,075</w:t>
            </w:r>
          </w:p>
        </w:tc>
        <w:tc>
          <w:tcPr>
            <w:tcW w:w="1074" w:type="dxa"/>
            <w:tcBorders>
              <w:top w:val="nil"/>
              <w:left w:val="nil"/>
              <w:bottom w:val="nil"/>
              <w:right w:val="nil"/>
            </w:tcBorders>
            <w:shd w:val="clear" w:color="auto" w:fill="auto"/>
            <w:noWrap/>
            <w:vAlign w:val="bottom"/>
            <w:hideMark/>
          </w:tcPr>
          <w:p w14:paraId="72F2B5B7" w14:textId="4CC42852" w:rsidR="00A87262" w:rsidRPr="008A5315" w:rsidRDefault="00367CB6" w:rsidP="00FC68AA">
            <w:pPr>
              <w:snapToGrid w:val="0"/>
              <w:contextualSpacing/>
              <w:jc w:val="center"/>
            </w:pPr>
            <w:r w:rsidRPr="008A5315">
              <w:t>0,428</w:t>
            </w:r>
          </w:p>
        </w:tc>
        <w:tc>
          <w:tcPr>
            <w:tcW w:w="1114" w:type="dxa"/>
            <w:tcBorders>
              <w:top w:val="nil"/>
              <w:left w:val="nil"/>
              <w:bottom w:val="nil"/>
              <w:right w:val="nil"/>
            </w:tcBorders>
            <w:shd w:val="clear" w:color="auto" w:fill="auto"/>
            <w:noWrap/>
            <w:vAlign w:val="bottom"/>
            <w:hideMark/>
          </w:tcPr>
          <w:p w14:paraId="64320FDC" w14:textId="5B0E63A8" w:rsidR="00A87262" w:rsidRPr="008A5315" w:rsidRDefault="00367CB6" w:rsidP="00FC68AA">
            <w:pPr>
              <w:snapToGrid w:val="0"/>
              <w:contextualSpacing/>
              <w:jc w:val="center"/>
            </w:pPr>
            <w:r w:rsidRPr="008A5315">
              <w:t>0,912</w:t>
            </w:r>
          </w:p>
        </w:tc>
      </w:tr>
      <w:tr w:rsidR="00A87262" w:rsidRPr="008A5315" w14:paraId="355CD686" w14:textId="77777777" w:rsidTr="00FC68AA">
        <w:trPr>
          <w:trHeight w:val="20"/>
        </w:trPr>
        <w:tc>
          <w:tcPr>
            <w:tcW w:w="1540" w:type="dxa"/>
            <w:tcBorders>
              <w:top w:val="nil"/>
              <w:left w:val="nil"/>
              <w:bottom w:val="nil"/>
              <w:right w:val="nil"/>
            </w:tcBorders>
            <w:shd w:val="clear" w:color="auto" w:fill="auto"/>
            <w:noWrap/>
            <w:vAlign w:val="bottom"/>
            <w:hideMark/>
          </w:tcPr>
          <w:p w14:paraId="1C0FDDAA" w14:textId="77777777" w:rsidR="00A87262" w:rsidRPr="008A5315" w:rsidRDefault="00A87262" w:rsidP="00FC68AA">
            <w:pPr>
              <w:snapToGrid w:val="0"/>
              <w:contextualSpacing/>
            </w:pPr>
            <w:r w:rsidRPr="008A5315">
              <w:t>Centro-Oeste</w:t>
            </w:r>
          </w:p>
        </w:tc>
        <w:tc>
          <w:tcPr>
            <w:tcW w:w="920" w:type="dxa"/>
            <w:tcBorders>
              <w:top w:val="nil"/>
              <w:left w:val="nil"/>
              <w:bottom w:val="nil"/>
              <w:right w:val="nil"/>
            </w:tcBorders>
            <w:shd w:val="clear" w:color="auto" w:fill="auto"/>
            <w:noWrap/>
            <w:vAlign w:val="bottom"/>
            <w:hideMark/>
          </w:tcPr>
          <w:p w14:paraId="27B79136" w14:textId="31ACA3DF" w:rsidR="00A87262" w:rsidRPr="008A5315" w:rsidRDefault="00367CB6" w:rsidP="00FC68AA">
            <w:pPr>
              <w:snapToGrid w:val="0"/>
              <w:contextualSpacing/>
              <w:jc w:val="center"/>
            </w:pPr>
            <w:r w:rsidRPr="008A5315">
              <w:t>0,660</w:t>
            </w:r>
          </w:p>
        </w:tc>
        <w:tc>
          <w:tcPr>
            <w:tcW w:w="1767" w:type="dxa"/>
            <w:tcBorders>
              <w:top w:val="nil"/>
              <w:left w:val="nil"/>
              <w:bottom w:val="nil"/>
              <w:right w:val="nil"/>
            </w:tcBorders>
            <w:shd w:val="clear" w:color="auto" w:fill="auto"/>
            <w:noWrap/>
            <w:vAlign w:val="bottom"/>
            <w:hideMark/>
          </w:tcPr>
          <w:p w14:paraId="484A7EE9" w14:textId="15F0E25B" w:rsidR="00A87262" w:rsidRPr="008A5315" w:rsidRDefault="00367CB6" w:rsidP="00FC68AA">
            <w:pPr>
              <w:snapToGrid w:val="0"/>
              <w:contextualSpacing/>
              <w:jc w:val="center"/>
            </w:pPr>
            <w:r w:rsidRPr="008A5315">
              <w:t>0,084</w:t>
            </w:r>
          </w:p>
        </w:tc>
        <w:tc>
          <w:tcPr>
            <w:tcW w:w="1074" w:type="dxa"/>
            <w:tcBorders>
              <w:top w:val="nil"/>
              <w:left w:val="nil"/>
              <w:bottom w:val="nil"/>
              <w:right w:val="nil"/>
            </w:tcBorders>
            <w:shd w:val="clear" w:color="auto" w:fill="auto"/>
            <w:noWrap/>
            <w:vAlign w:val="bottom"/>
            <w:hideMark/>
          </w:tcPr>
          <w:p w14:paraId="6CF3969F" w14:textId="44F91D53" w:rsidR="00A87262" w:rsidRPr="008A5315" w:rsidRDefault="00367CB6" w:rsidP="00FC68AA">
            <w:pPr>
              <w:snapToGrid w:val="0"/>
              <w:contextualSpacing/>
              <w:jc w:val="center"/>
            </w:pPr>
            <w:r w:rsidRPr="008A5315">
              <w:t>0,331</w:t>
            </w:r>
          </w:p>
        </w:tc>
        <w:tc>
          <w:tcPr>
            <w:tcW w:w="1114" w:type="dxa"/>
            <w:tcBorders>
              <w:top w:val="nil"/>
              <w:left w:val="nil"/>
              <w:bottom w:val="nil"/>
              <w:right w:val="nil"/>
            </w:tcBorders>
            <w:shd w:val="clear" w:color="auto" w:fill="auto"/>
            <w:noWrap/>
            <w:vAlign w:val="bottom"/>
            <w:hideMark/>
          </w:tcPr>
          <w:p w14:paraId="57E633C4" w14:textId="6313EEC3" w:rsidR="00A87262" w:rsidRPr="008A5315" w:rsidRDefault="00367CB6" w:rsidP="00FC68AA">
            <w:pPr>
              <w:snapToGrid w:val="0"/>
              <w:contextualSpacing/>
              <w:jc w:val="center"/>
            </w:pPr>
            <w:r w:rsidRPr="008A5315">
              <w:t>0,905</w:t>
            </w:r>
          </w:p>
        </w:tc>
      </w:tr>
      <w:tr w:rsidR="00A87262" w:rsidRPr="008A5315" w14:paraId="03F2F320" w14:textId="77777777" w:rsidTr="00FC68AA">
        <w:trPr>
          <w:trHeight w:val="20"/>
        </w:trPr>
        <w:tc>
          <w:tcPr>
            <w:tcW w:w="1540" w:type="dxa"/>
            <w:tcBorders>
              <w:top w:val="single" w:sz="4" w:space="0" w:color="auto"/>
              <w:left w:val="nil"/>
              <w:bottom w:val="single" w:sz="4" w:space="0" w:color="auto"/>
              <w:right w:val="nil"/>
            </w:tcBorders>
            <w:shd w:val="clear" w:color="auto" w:fill="auto"/>
            <w:noWrap/>
            <w:vAlign w:val="bottom"/>
            <w:hideMark/>
          </w:tcPr>
          <w:p w14:paraId="459E90DF" w14:textId="77777777" w:rsidR="00A87262" w:rsidRPr="008A5315" w:rsidRDefault="00A87262" w:rsidP="00FC68AA">
            <w:pPr>
              <w:snapToGrid w:val="0"/>
              <w:contextualSpacing/>
              <w:rPr>
                <w:bCs/>
              </w:rPr>
            </w:pPr>
            <w:r w:rsidRPr="008A5315">
              <w:rPr>
                <w:bCs/>
              </w:rPr>
              <w:t>Brasil</w:t>
            </w:r>
          </w:p>
        </w:tc>
        <w:tc>
          <w:tcPr>
            <w:tcW w:w="920" w:type="dxa"/>
            <w:tcBorders>
              <w:top w:val="single" w:sz="4" w:space="0" w:color="auto"/>
              <w:left w:val="nil"/>
              <w:bottom w:val="single" w:sz="4" w:space="0" w:color="auto"/>
              <w:right w:val="nil"/>
            </w:tcBorders>
            <w:shd w:val="clear" w:color="auto" w:fill="auto"/>
            <w:noWrap/>
            <w:vAlign w:val="bottom"/>
            <w:hideMark/>
          </w:tcPr>
          <w:p w14:paraId="6F288BB5" w14:textId="61C9E882" w:rsidR="00A87262" w:rsidRPr="008A5315" w:rsidRDefault="00367CB6" w:rsidP="00FC68AA">
            <w:pPr>
              <w:snapToGrid w:val="0"/>
              <w:contextualSpacing/>
              <w:jc w:val="center"/>
              <w:rPr>
                <w:bCs/>
              </w:rPr>
            </w:pPr>
            <w:r w:rsidRPr="008A5315">
              <w:rPr>
                <w:bCs/>
              </w:rPr>
              <w:t>0,630</w:t>
            </w:r>
          </w:p>
        </w:tc>
        <w:tc>
          <w:tcPr>
            <w:tcW w:w="1767" w:type="dxa"/>
            <w:tcBorders>
              <w:top w:val="single" w:sz="4" w:space="0" w:color="auto"/>
              <w:left w:val="nil"/>
              <w:bottom w:val="single" w:sz="4" w:space="0" w:color="auto"/>
              <w:right w:val="nil"/>
            </w:tcBorders>
            <w:shd w:val="clear" w:color="auto" w:fill="auto"/>
            <w:noWrap/>
            <w:vAlign w:val="bottom"/>
            <w:hideMark/>
          </w:tcPr>
          <w:p w14:paraId="018490A6" w14:textId="38269E1E" w:rsidR="00A87262" w:rsidRPr="008A5315" w:rsidRDefault="00367CB6" w:rsidP="00FC68AA">
            <w:pPr>
              <w:snapToGrid w:val="0"/>
              <w:contextualSpacing/>
              <w:jc w:val="center"/>
              <w:rPr>
                <w:bCs/>
              </w:rPr>
            </w:pPr>
            <w:r w:rsidRPr="008A5315">
              <w:rPr>
                <w:bCs/>
              </w:rPr>
              <w:t>0,121</w:t>
            </w:r>
          </w:p>
        </w:tc>
        <w:tc>
          <w:tcPr>
            <w:tcW w:w="1074" w:type="dxa"/>
            <w:tcBorders>
              <w:top w:val="single" w:sz="4" w:space="0" w:color="auto"/>
              <w:left w:val="nil"/>
              <w:bottom w:val="single" w:sz="4" w:space="0" w:color="auto"/>
              <w:right w:val="nil"/>
            </w:tcBorders>
            <w:shd w:val="clear" w:color="auto" w:fill="auto"/>
            <w:noWrap/>
            <w:vAlign w:val="bottom"/>
            <w:hideMark/>
          </w:tcPr>
          <w:p w14:paraId="55ADE760" w14:textId="0B4DDE8D" w:rsidR="00A87262" w:rsidRPr="008A5315" w:rsidRDefault="00367CB6" w:rsidP="00FC68AA">
            <w:pPr>
              <w:snapToGrid w:val="0"/>
              <w:contextualSpacing/>
              <w:jc w:val="center"/>
              <w:rPr>
                <w:bCs/>
              </w:rPr>
            </w:pPr>
            <w:r w:rsidRPr="008A5315">
              <w:rPr>
                <w:bCs/>
              </w:rPr>
              <w:t>0,186</w:t>
            </w:r>
          </w:p>
        </w:tc>
        <w:tc>
          <w:tcPr>
            <w:tcW w:w="1114" w:type="dxa"/>
            <w:tcBorders>
              <w:top w:val="single" w:sz="4" w:space="0" w:color="auto"/>
              <w:left w:val="nil"/>
              <w:bottom w:val="single" w:sz="4" w:space="0" w:color="auto"/>
              <w:right w:val="nil"/>
            </w:tcBorders>
            <w:shd w:val="clear" w:color="auto" w:fill="auto"/>
            <w:noWrap/>
            <w:vAlign w:val="bottom"/>
            <w:hideMark/>
          </w:tcPr>
          <w:p w14:paraId="0B923B20" w14:textId="0461B73C" w:rsidR="00A87262" w:rsidRPr="008A5315" w:rsidRDefault="00367CB6" w:rsidP="00FC68AA">
            <w:pPr>
              <w:snapToGrid w:val="0"/>
              <w:contextualSpacing/>
              <w:jc w:val="center"/>
              <w:rPr>
                <w:bCs/>
              </w:rPr>
            </w:pPr>
            <w:r w:rsidRPr="008A5315">
              <w:rPr>
                <w:bCs/>
              </w:rPr>
              <w:t>0,935</w:t>
            </w:r>
          </w:p>
        </w:tc>
      </w:tr>
    </w:tbl>
    <w:p w14:paraId="6F6C1086" w14:textId="44FCA464" w:rsidR="007E3C18" w:rsidRPr="008A5315" w:rsidRDefault="00A87262" w:rsidP="000C2FDC">
      <w:pPr>
        <w:spacing w:line="360" w:lineRule="auto"/>
        <w:jc w:val="both"/>
        <w:rPr>
          <w:sz w:val="20"/>
          <w:szCs w:val="20"/>
        </w:rPr>
      </w:pPr>
      <w:r w:rsidRPr="008A5315">
        <w:rPr>
          <w:sz w:val="20"/>
          <w:szCs w:val="20"/>
        </w:rPr>
        <w:t>Fonte: Elaborado a</w:t>
      </w:r>
      <w:r w:rsidR="007E3C18" w:rsidRPr="008A5315">
        <w:rPr>
          <w:sz w:val="20"/>
          <w:szCs w:val="20"/>
        </w:rPr>
        <w:t xml:space="preserve"> partir dos dados da pesquisa. </w:t>
      </w:r>
    </w:p>
    <w:p w14:paraId="283723D9" w14:textId="77777777" w:rsidR="00517660" w:rsidRPr="008A5315" w:rsidRDefault="00517660" w:rsidP="000C2FDC">
      <w:pPr>
        <w:spacing w:line="360" w:lineRule="auto"/>
        <w:ind w:firstLine="708"/>
        <w:jc w:val="both"/>
      </w:pPr>
    </w:p>
    <w:p w14:paraId="23F44B99" w14:textId="04AAD196" w:rsidR="00DE52F8" w:rsidRPr="008A5315" w:rsidRDefault="00367CB6" w:rsidP="000C2FDC">
      <w:pPr>
        <w:spacing w:line="360" w:lineRule="auto"/>
        <w:ind w:firstLine="708"/>
        <w:jc w:val="both"/>
      </w:pPr>
      <w:r w:rsidRPr="008A5315">
        <w:t>Uma breve análise deste índice nos mostra que as regiões Sul, Sudeste e Centro Oeste possuem um nível de desenvolvimento médio classificado como moderado e com valores 0,709; 0,694 e 0,660, respetivamente</w:t>
      </w:r>
      <w:r w:rsidR="007E3C18" w:rsidRPr="008A5315">
        <w:t xml:space="preserve">. </w:t>
      </w:r>
      <w:r w:rsidRPr="008A5315">
        <w:t>Enquanto que as regiões Nordeste (0,535) e Nor</w:t>
      </w:r>
      <w:r w:rsidR="007E3C18" w:rsidRPr="008A5315">
        <w:t>te</w:t>
      </w:r>
      <w:r w:rsidRPr="008A5315">
        <w:t xml:space="preserve"> (0,532)</w:t>
      </w:r>
      <w:r w:rsidR="007E3C18" w:rsidRPr="008A5315">
        <w:t xml:space="preserve"> têm </w:t>
      </w:r>
      <w:r w:rsidR="00D03CFC" w:rsidRPr="008A5315">
        <w:t xml:space="preserve">um </w:t>
      </w:r>
      <w:r w:rsidR="007E3C18" w:rsidRPr="008A5315">
        <w:t>nível de desenvolvimento classificado como r</w:t>
      </w:r>
      <w:r w:rsidRPr="008A5315">
        <w:t xml:space="preserve">egular e com valores bastante próximos. </w:t>
      </w:r>
      <w:r w:rsidR="007E3C18" w:rsidRPr="008A5315">
        <w:t>Cabe destacar que dentro de cada região existe uma amplitude relevante, com municípios apresentando indicadores de desenvolvimento variando entre baixo e alto, exceto a região Sul que não tem cidades classificadas como baixo desenvolvimento.</w:t>
      </w:r>
      <w:r w:rsidR="00C92CCF" w:rsidRPr="008A5315">
        <w:t xml:space="preserve"> Já para o Brasil como um todo, o desenvolvimento é c</w:t>
      </w:r>
      <w:r w:rsidR="00DE05AC" w:rsidRPr="008A5315">
        <w:t>lassificado como</w:t>
      </w:r>
      <w:r w:rsidR="00C92CCF" w:rsidRPr="008A5315">
        <w:t xml:space="preserve"> moderado</w:t>
      </w:r>
      <w:r w:rsidR="00DE05AC" w:rsidRPr="008A5315">
        <w:t xml:space="preserve"> (0,630)</w:t>
      </w:r>
      <w:r w:rsidR="006F6408" w:rsidRPr="008A5315">
        <w:t>.</w:t>
      </w:r>
    </w:p>
    <w:p w14:paraId="2968EC20" w14:textId="1A30010C" w:rsidR="00A64893" w:rsidRPr="008A5315" w:rsidRDefault="006C2C77" w:rsidP="000C2FDC">
      <w:pPr>
        <w:spacing w:line="360" w:lineRule="auto"/>
        <w:ind w:firstLine="708"/>
        <w:jc w:val="both"/>
      </w:pPr>
      <w:r w:rsidRPr="008A5315">
        <w:lastRenderedPageBreak/>
        <w:t>C</w:t>
      </w:r>
      <w:r w:rsidR="006F6408" w:rsidRPr="008A5315">
        <w:t>om relação a variável corrupção</w:t>
      </w:r>
      <w:r w:rsidR="004D3C61" w:rsidRPr="008A5315">
        <w:t>,</w:t>
      </w:r>
      <w:r w:rsidR="0055499A" w:rsidRPr="008A5315">
        <w:t xml:space="preserve"> </w:t>
      </w:r>
      <w:r w:rsidR="006F6408" w:rsidRPr="008A5315">
        <w:t>considerou-se</w:t>
      </w:r>
      <w:r w:rsidR="004D3C61" w:rsidRPr="008A5315">
        <w:t>,</w:t>
      </w:r>
      <w:r w:rsidR="006F6408" w:rsidRPr="008A5315">
        <w:t xml:space="preserve"> </w:t>
      </w:r>
      <w:r w:rsidR="004D3C61" w:rsidRPr="008A5315">
        <w:t xml:space="preserve">conforme mencionado no Quadro 1, </w:t>
      </w:r>
      <w:r w:rsidR="006F6408" w:rsidRPr="008A5315">
        <w:t xml:space="preserve">o número de </w:t>
      </w:r>
      <w:r w:rsidR="0082386E" w:rsidRPr="008A5315">
        <w:t>processos investigados</w:t>
      </w:r>
      <w:r w:rsidR="004D3C61" w:rsidRPr="008A5315">
        <w:t xml:space="preserve"> e</w:t>
      </w:r>
      <w:r w:rsidR="0055499A" w:rsidRPr="008A5315">
        <w:t xml:space="preserve"> julgados</w:t>
      </w:r>
      <w:r w:rsidR="004D3C61" w:rsidRPr="008A5315">
        <w:t xml:space="preserve"> relacionados à tal prática</w:t>
      </w:r>
      <w:r w:rsidR="0055499A" w:rsidRPr="008A5315">
        <w:t xml:space="preserve">. </w:t>
      </w:r>
      <w:r w:rsidR="004D3C61" w:rsidRPr="008A5315">
        <w:t>Dentre esses</w:t>
      </w:r>
      <w:r w:rsidR="0055499A" w:rsidRPr="008A5315">
        <w:t xml:space="preserve"> processos, incluem-se</w:t>
      </w:r>
      <w:r w:rsidR="004D3C61" w:rsidRPr="008A5315">
        <w:t xml:space="preserve">: </w:t>
      </w:r>
      <w:r w:rsidR="0055499A" w:rsidRPr="008A5315">
        <w:t xml:space="preserve">recebimento de propina ou </w:t>
      </w:r>
      <w:r w:rsidR="004D3C61" w:rsidRPr="008A5315">
        <w:t>comissão;</w:t>
      </w:r>
      <w:r w:rsidR="0055499A" w:rsidRPr="008A5315">
        <w:t xml:space="preserve"> </w:t>
      </w:r>
      <w:r w:rsidR="004D3C61" w:rsidRPr="008A5315">
        <w:t>utilização indevida de recursos;</w:t>
      </w:r>
      <w:r w:rsidR="0055499A" w:rsidRPr="008A5315">
        <w:t xml:space="preserve"> irregularidades em carreiras e</w:t>
      </w:r>
      <w:r w:rsidR="004D3C61" w:rsidRPr="008A5315">
        <w:t>specíficas em empresas públicas e</w:t>
      </w:r>
      <w:r w:rsidR="0055499A" w:rsidRPr="008A5315">
        <w:t xml:space="preserve"> concessão irreg</w:t>
      </w:r>
      <w:r w:rsidR="004D3C61" w:rsidRPr="008A5315">
        <w:t>ular de benefícios por parte de funcionários públicos.</w:t>
      </w:r>
    </w:p>
    <w:p w14:paraId="5278E599" w14:textId="66670E70" w:rsidR="002D076C" w:rsidRPr="008A5315" w:rsidRDefault="0093391E" w:rsidP="000C2FDC">
      <w:pPr>
        <w:spacing w:line="360" w:lineRule="auto"/>
        <w:ind w:firstLine="708"/>
        <w:jc w:val="both"/>
      </w:pPr>
      <w:r w:rsidRPr="008A5315">
        <w:t xml:space="preserve">Além desses processos representarem a única opção disponível para a realização de um estudo </w:t>
      </w:r>
      <w:r w:rsidR="00685E1A" w:rsidRPr="008A5315">
        <w:t xml:space="preserve">em nível </w:t>
      </w:r>
      <w:r w:rsidRPr="008A5315">
        <w:t>intermunicipal sobre corrupção no Brasil, os mesmos s</w:t>
      </w:r>
      <w:r w:rsidR="00685E1A" w:rsidRPr="008A5315">
        <w:t xml:space="preserve">e configuram como sendo indicadores mais objetivos e fidedignos que, </w:t>
      </w:r>
      <w:r w:rsidR="00A64893" w:rsidRPr="008A5315">
        <w:t>por exemplo</w:t>
      </w:r>
      <w:r w:rsidR="00685E1A" w:rsidRPr="008A5315">
        <w:t xml:space="preserve"> o CPI, índice </w:t>
      </w:r>
      <w:r w:rsidR="00A64893" w:rsidRPr="008A5315">
        <w:t>amplamente utilizado e</w:t>
      </w:r>
      <w:r w:rsidR="001F1958" w:rsidRPr="008A5315">
        <w:t>m pesquisas internacionais</w:t>
      </w:r>
      <w:r w:rsidR="00A64893" w:rsidRPr="008A5315">
        <w:t xml:space="preserve"> </w:t>
      </w:r>
      <w:r w:rsidR="00685E1A" w:rsidRPr="008A5315">
        <w:t>que busca captar de modo subjetivo a percepç</w:t>
      </w:r>
      <w:r w:rsidR="00A64893" w:rsidRPr="008A5315">
        <w:t>ão que determinado grupo de pessoas têm acerca da corrupção</w:t>
      </w:r>
      <w:r w:rsidR="00A64893" w:rsidRPr="008A5315">
        <w:rPr>
          <w:rStyle w:val="Refdenotaderodap"/>
        </w:rPr>
        <w:footnoteReference w:id="6"/>
      </w:r>
      <w:r w:rsidR="00A64893" w:rsidRPr="008A5315">
        <w:t>.</w:t>
      </w:r>
    </w:p>
    <w:p w14:paraId="1AA1D5A4" w14:textId="77777777" w:rsidR="00517660" w:rsidRPr="008A5315" w:rsidRDefault="00517660" w:rsidP="00517660">
      <w:pPr>
        <w:spacing w:line="360" w:lineRule="auto"/>
        <w:jc w:val="both"/>
      </w:pPr>
    </w:p>
    <w:p w14:paraId="55E314DA" w14:textId="7AB8891E" w:rsidR="006E75D0" w:rsidRPr="008A5315" w:rsidRDefault="006E75D0" w:rsidP="003F60FF">
      <w:pPr>
        <w:pStyle w:val="Ttulo2"/>
        <w:spacing w:before="240" w:after="240"/>
        <w:rPr>
          <w:rFonts w:ascii="Times New Roman" w:hAnsi="Times New Roman" w:cs="Times New Roman"/>
          <w:b/>
          <w:bCs/>
          <w:color w:val="auto"/>
          <w:sz w:val="24"/>
          <w:szCs w:val="24"/>
        </w:rPr>
      </w:pPr>
      <w:r w:rsidRPr="008A5315">
        <w:rPr>
          <w:rFonts w:ascii="Times New Roman" w:hAnsi="Times New Roman" w:cs="Times New Roman"/>
          <w:b/>
          <w:bCs/>
          <w:color w:val="auto"/>
          <w:sz w:val="24"/>
          <w:szCs w:val="24"/>
        </w:rPr>
        <w:t>3.2</w:t>
      </w:r>
      <w:r w:rsidRPr="008A5315">
        <w:rPr>
          <w:rFonts w:ascii="Times New Roman" w:hAnsi="Times New Roman" w:cs="Times New Roman"/>
          <w:b/>
          <w:bCs/>
          <w:color w:val="auto"/>
          <w:sz w:val="24"/>
          <w:szCs w:val="24"/>
        </w:rPr>
        <w:tab/>
        <w:t>Modelo Ec</w:t>
      </w:r>
      <w:r w:rsidR="006C09AA" w:rsidRPr="008A5315">
        <w:rPr>
          <w:rFonts w:ascii="Times New Roman" w:hAnsi="Times New Roman" w:cs="Times New Roman"/>
          <w:b/>
          <w:bCs/>
          <w:color w:val="auto"/>
          <w:sz w:val="24"/>
          <w:szCs w:val="24"/>
        </w:rPr>
        <w:t>onométrico</w:t>
      </w:r>
    </w:p>
    <w:p w14:paraId="03A3E343" w14:textId="77777777" w:rsidR="006E75D0" w:rsidRPr="008A5315" w:rsidRDefault="006E75D0" w:rsidP="000C2FDC">
      <w:pPr>
        <w:spacing w:line="360" w:lineRule="auto"/>
        <w:ind w:firstLine="708"/>
        <w:jc w:val="both"/>
      </w:pPr>
      <w:r w:rsidRPr="008A5315">
        <w:t xml:space="preserve">Para a estimação e análise do impacto da corrupção sobre o nível de pobreza municipal, utilizou-se um modelo de dados em painel. </w:t>
      </w:r>
    </w:p>
    <w:p w14:paraId="0BD4CFAD" w14:textId="6596A83A" w:rsidR="006E75D0" w:rsidRPr="008A5315" w:rsidRDefault="006E75D0" w:rsidP="000C2FDC">
      <w:pPr>
        <w:spacing w:line="360" w:lineRule="auto"/>
        <w:ind w:firstLine="709"/>
        <w:jc w:val="both"/>
        <w:rPr>
          <w:b/>
          <w:bCs/>
          <w:i/>
          <w:iCs/>
        </w:rPr>
      </w:pPr>
      <w:bookmarkStart w:id="0" w:name="_Hlk36641131"/>
      <w:proofErr w:type="spellStart"/>
      <w:r w:rsidRPr="008A5315">
        <w:t>Wooldridge</w:t>
      </w:r>
      <w:proofErr w:type="spellEnd"/>
      <w:r w:rsidRPr="008A5315">
        <w:t xml:space="preserve"> (2008) afirma que os conjuntos de dados em painel são muito úteis quando se quer controlar características não observadas constantes no tempo que podem estar correlacionadas com as variáveis explicativas do modelo. Por sua vez, </w:t>
      </w:r>
      <w:proofErr w:type="spellStart"/>
      <w:r w:rsidRPr="008A5315">
        <w:t>Maddala</w:t>
      </w:r>
      <w:proofErr w:type="spellEnd"/>
      <w:r w:rsidRPr="008A5315">
        <w:t xml:space="preserve"> (2003) </w:t>
      </w:r>
      <w:r w:rsidR="00891BA4" w:rsidRPr="008A5315">
        <w:t xml:space="preserve">afirma que </w:t>
      </w:r>
      <w:r w:rsidRPr="008A5315">
        <w:t xml:space="preserve">dados em painel </w:t>
      </w:r>
      <w:r w:rsidR="00A72FD2" w:rsidRPr="008A5315">
        <w:t>se referem</w:t>
      </w:r>
      <w:r w:rsidRPr="008A5315">
        <w:t xml:space="preserve"> aos conjuntos</w:t>
      </w:r>
      <w:r w:rsidR="00724115" w:rsidRPr="008A5315">
        <w:t xml:space="preserve"> de dados nos quais se tem informações</w:t>
      </w:r>
      <w:r w:rsidRPr="008A5315">
        <w:t xml:space="preserve"> sobre a mesma observação ao lo</w:t>
      </w:r>
      <w:r w:rsidR="00724115" w:rsidRPr="008A5315">
        <w:t>ngo de vários períodos de tempo</w:t>
      </w:r>
      <w:r w:rsidRPr="008A5315">
        <w:t>.</w:t>
      </w:r>
      <w:r w:rsidR="00724115" w:rsidRPr="008A5315">
        <w:t xml:space="preserve"> </w:t>
      </w:r>
      <w:r w:rsidR="00DB0A5D" w:rsidRPr="008A5315">
        <w:t xml:space="preserve">Vieira </w:t>
      </w:r>
      <w:r w:rsidR="00DB0A5D" w:rsidRPr="008A5315">
        <w:rPr>
          <w:i/>
        </w:rPr>
        <w:t>et al</w:t>
      </w:r>
      <w:r w:rsidR="00DB0A5D" w:rsidRPr="008A5315">
        <w:t xml:space="preserve"> (2011</w:t>
      </w:r>
      <w:r w:rsidR="00724115" w:rsidRPr="008A5315">
        <w:t xml:space="preserve">) destaca ainda que </w:t>
      </w:r>
      <w:r w:rsidRPr="008A5315">
        <w:t xml:space="preserve">a principal vantagem desta técnica é a obtenção de dados mais informativos, com mais variabilidade, menos colinearidade, mais graus </w:t>
      </w:r>
      <w:r w:rsidR="00724115" w:rsidRPr="008A5315">
        <w:t>de liberdade e mais eficiência.</w:t>
      </w:r>
    </w:p>
    <w:bookmarkEnd w:id="0"/>
    <w:p w14:paraId="7E2FD7BE" w14:textId="5D4D7CD6" w:rsidR="006E75D0" w:rsidRPr="008A5315" w:rsidRDefault="006E75D0" w:rsidP="000C2FDC">
      <w:pPr>
        <w:spacing w:line="360" w:lineRule="auto"/>
        <w:ind w:firstLine="709"/>
        <w:jc w:val="both"/>
      </w:pPr>
      <w:r w:rsidRPr="008A5315">
        <w:t>Portanto, esta técnica possibilita uma estimação mais adequada e eficiente dos modelos econométricos quando comparado com os modelos mais simples de regressão linear.</w:t>
      </w:r>
      <w:r w:rsidR="00555192" w:rsidRPr="008A5315">
        <w:t xml:space="preserve"> </w:t>
      </w:r>
    </w:p>
    <w:p w14:paraId="6C8D27AA" w14:textId="36260768" w:rsidR="006E75D0" w:rsidRPr="008A5315" w:rsidRDefault="006E75D0" w:rsidP="000C2FDC">
      <w:pPr>
        <w:spacing w:line="360" w:lineRule="auto"/>
        <w:ind w:firstLine="709"/>
        <w:jc w:val="both"/>
      </w:pPr>
      <w:r w:rsidRPr="008A5315">
        <w:t>A especificação do modelo line</w:t>
      </w:r>
      <w:r w:rsidR="00724115" w:rsidRPr="008A5315">
        <w:t>ar é</w:t>
      </w:r>
      <w:r w:rsidR="00535989" w:rsidRPr="008A5315">
        <w:t xml:space="preserve"> dada da seguinte forma:</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5"/>
        <w:gridCol w:w="496"/>
      </w:tblGrid>
      <w:tr w:rsidR="007121FD" w:rsidRPr="008A5315" w14:paraId="371B489A" w14:textId="77777777" w:rsidTr="001B25F2">
        <w:trPr>
          <w:trHeight w:val="614"/>
        </w:trPr>
        <w:tc>
          <w:tcPr>
            <w:tcW w:w="0" w:type="auto"/>
          </w:tcPr>
          <w:p w14:paraId="4AB92548" w14:textId="7DF0655C" w:rsidR="006E75D0" w:rsidRPr="008A5315" w:rsidRDefault="006E75D0" w:rsidP="006E75D0">
            <w:pPr>
              <w:spacing w:line="360" w:lineRule="auto"/>
              <w:jc w:val="both"/>
              <w:rPr>
                <w:rFonts w:eastAsiaTheme="minorEastAsia"/>
              </w:rPr>
            </w:pPr>
            <m:oMathPara>
              <m:oMath>
                <m:r>
                  <w:rPr>
                    <w:rFonts w:ascii="Cambria Math" w:hAnsi="Cambria Math"/>
                  </w:rPr>
                  <m:t>IFD</m:t>
                </m:r>
                <m:sSub>
                  <m:sSubPr>
                    <m:ctrlPr>
                      <w:rPr>
                        <w:rFonts w:ascii="Cambria Math" w:hAnsi="Cambria Math"/>
                        <w:i/>
                      </w:rPr>
                    </m:ctrlPr>
                  </m:sSubPr>
                  <m:e>
                    <m:r>
                      <w:rPr>
                        <w:rFonts w:ascii="Cambria Math" w:hAnsi="Cambria Math"/>
                      </w:rPr>
                      <m:t>M</m:t>
                    </m:r>
                  </m:e>
                  <m:sub>
                    <m:r>
                      <w:rPr>
                        <w:rFonts w:ascii="Cambria Math" w:hAnsi="Cambria Math"/>
                      </w:rPr>
                      <m:t>it</m:t>
                    </m:r>
                  </m:sub>
                </m:sSub>
                <m:r>
                  <w:rPr>
                    <w:rFonts w:ascii="Cambria Math" w:hAnsi="Cambria Math"/>
                  </w:rPr>
                  <m:t>=α+</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lnCorru</m:t>
                </m:r>
                <m:sSub>
                  <m:sSubPr>
                    <m:ctrlPr>
                      <w:rPr>
                        <w:rFonts w:ascii="Cambria Math" w:hAnsi="Cambria Math"/>
                        <w:i/>
                      </w:rPr>
                    </m:ctrlPr>
                  </m:sSubPr>
                  <m:e>
                    <m:r>
                      <w:rPr>
                        <w:rFonts w:ascii="Cambria Math" w:hAnsi="Cambria Math"/>
                      </w:rPr>
                      <m:t>p</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lnTGo</m:t>
                </m:r>
                <m:sSub>
                  <m:sSubPr>
                    <m:ctrlPr>
                      <w:rPr>
                        <w:rFonts w:ascii="Cambria Math" w:hAnsi="Cambria Math"/>
                        <w:i/>
                      </w:rPr>
                    </m:ctrlPr>
                  </m:sSubPr>
                  <m:e>
                    <m:r>
                      <w:rPr>
                        <w:rFonts w:ascii="Cambria Math" w:hAnsi="Cambria Math"/>
                      </w:rPr>
                      <m:t>v</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lnProd</m:t>
                </m:r>
                <m:sSub>
                  <m:sSubPr>
                    <m:ctrlPr>
                      <w:rPr>
                        <w:rFonts w:ascii="Cambria Math" w:hAnsi="Cambria Math"/>
                        <w:i/>
                      </w:rPr>
                    </m:ctrlPr>
                  </m:sSubPr>
                  <m:e>
                    <m:r>
                      <w:rPr>
                        <w:rFonts w:ascii="Cambria Math" w:hAnsi="Cambria Math"/>
                      </w:rPr>
                      <m:t>G</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r>
                  <w:rPr>
                    <w:rFonts w:ascii="Cambria Math" w:hAnsi="Cambria Math"/>
                  </w:rPr>
                  <m:t>lnPIBp</m:t>
                </m:r>
                <m:sSub>
                  <m:sSubPr>
                    <m:ctrlPr>
                      <w:rPr>
                        <w:rFonts w:ascii="Cambria Math" w:hAnsi="Cambria Math"/>
                        <w:i/>
                      </w:rPr>
                    </m:ctrlPr>
                  </m:sSubPr>
                  <m:e>
                    <m:r>
                      <w:rPr>
                        <w:rFonts w:ascii="Cambria Math" w:hAnsi="Cambria Math"/>
                      </w:rPr>
                      <m:t>c</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r>
                  <w:rPr>
                    <w:rFonts w:ascii="Cambria Math" w:hAnsi="Cambria Math"/>
                  </w:rPr>
                  <m:t>lnPo</m:t>
                </m:r>
                <m:sSub>
                  <m:sSubPr>
                    <m:ctrlPr>
                      <w:rPr>
                        <w:rFonts w:ascii="Cambria Math" w:hAnsi="Cambria Math"/>
                        <w:i/>
                      </w:rPr>
                    </m:ctrlPr>
                  </m:sSubPr>
                  <m:e>
                    <m:r>
                      <w:rPr>
                        <w:rFonts w:ascii="Cambria Math" w:hAnsi="Cambria Math"/>
                      </w:rPr>
                      <m:t>p</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6</m:t>
                    </m:r>
                  </m:sub>
                </m:sSub>
                <m:r>
                  <w:rPr>
                    <w:rFonts w:ascii="Cambria Math" w:hAnsi="Cambria Math"/>
                  </w:rPr>
                  <m:t>lnPop</m:t>
                </m:r>
                <m:sSub>
                  <m:sSubPr>
                    <m:ctrlPr>
                      <w:rPr>
                        <w:rFonts w:ascii="Cambria Math" w:hAnsi="Cambria Math"/>
                        <w:i/>
                      </w:rPr>
                    </m:ctrlPr>
                  </m:sSubPr>
                  <m:e>
                    <m:r>
                      <w:rPr>
                        <w:rFonts w:ascii="Cambria Math" w:hAnsi="Cambria Math"/>
                      </w:rPr>
                      <m:t>I</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7</m:t>
                    </m:r>
                  </m:sub>
                </m:sSub>
                <m:r>
                  <w:rPr>
                    <w:rFonts w:ascii="Cambria Math" w:hAnsi="Cambria Math"/>
                  </w:rPr>
                  <m:t>Dtemp</m:t>
                </m:r>
                <m:sSub>
                  <m:sSubPr>
                    <m:ctrlPr>
                      <w:rPr>
                        <w:rFonts w:ascii="Cambria Math" w:hAnsi="Cambria Math"/>
                        <w:i/>
                      </w:rPr>
                    </m:ctrlPr>
                  </m:sSubPr>
                  <m:e>
                    <m:r>
                      <w:rPr>
                        <w:rFonts w:ascii="Cambria Math" w:hAnsi="Cambria Math"/>
                      </w:rPr>
                      <m:t>o</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it</m:t>
                    </m:r>
                  </m:sub>
                </m:sSub>
              </m:oMath>
            </m:oMathPara>
          </w:p>
          <w:p w14:paraId="7E37900D" w14:textId="47BFF45C" w:rsidR="002B30C9" w:rsidRPr="008A5315" w:rsidRDefault="002B30C9" w:rsidP="006E75D0">
            <w:pPr>
              <w:spacing w:line="360" w:lineRule="auto"/>
              <w:jc w:val="both"/>
            </w:pPr>
          </w:p>
        </w:tc>
        <w:tc>
          <w:tcPr>
            <w:tcW w:w="0" w:type="auto"/>
          </w:tcPr>
          <w:p w14:paraId="349E471F" w14:textId="77777777" w:rsidR="006E75D0" w:rsidRPr="008A5315" w:rsidRDefault="006E75D0" w:rsidP="006E75D0">
            <w:pPr>
              <w:spacing w:line="360" w:lineRule="auto"/>
              <w:jc w:val="both"/>
            </w:pPr>
            <w:r w:rsidRPr="008A5315">
              <w:t>(1)</w:t>
            </w:r>
          </w:p>
        </w:tc>
      </w:tr>
    </w:tbl>
    <w:p w14:paraId="285E2F69" w14:textId="2E8547E4" w:rsidR="004A7611" w:rsidRPr="008A5315" w:rsidRDefault="006E75D0" w:rsidP="000C2FDC">
      <w:pPr>
        <w:spacing w:line="360" w:lineRule="auto"/>
        <w:jc w:val="both"/>
      </w:pPr>
      <w:r w:rsidRPr="008A5315">
        <w:rPr>
          <w:bCs/>
        </w:rPr>
        <w:t xml:space="preserve">em que </w:t>
      </w:r>
      <m:oMath>
        <m:r>
          <w:rPr>
            <w:rFonts w:ascii="Cambria Math" w:hAnsi="Cambria Math"/>
          </w:rPr>
          <m:t>i = 1, 2, ...., N</m:t>
        </m:r>
      </m:oMath>
      <w:r w:rsidRPr="008A5315">
        <w:rPr>
          <w:bCs/>
        </w:rPr>
        <w:t xml:space="preserve"> e </w:t>
      </w:r>
      <m:oMath>
        <m:r>
          <w:rPr>
            <w:rFonts w:ascii="Cambria Math" w:hAnsi="Cambria Math"/>
          </w:rPr>
          <m:t>t = 1, 2, ..., T</m:t>
        </m:r>
      </m:oMath>
      <w:r w:rsidRPr="008A5315">
        <w:rPr>
          <w:rFonts w:eastAsiaTheme="minorEastAsia"/>
        </w:rPr>
        <w:t xml:space="preserve">. Os subscritos </w:t>
      </w:r>
      <m:oMath>
        <m:r>
          <w:rPr>
            <w:rFonts w:ascii="Cambria Math" w:eastAsiaTheme="minorEastAsia" w:hAnsi="Cambria Math"/>
          </w:rPr>
          <m:t>"i"</m:t>
        </m:r>
      </m:oMath>
      <w:r w:rsidRPr="008A5315">
        <w:rPr>
          <w:rFonts w:eastAsiaTheme="minorEastAsia"/>
        </w:rPr>
        <w:t xml:space="preserve"> e </w:t>
      </w:r>
      <m:oMath>
        <m:r>
          <w:rPr>
            <w:rFonts w:ascii="Cambria Math" w:eastAsiaTheme="minorEastAsia" w:hAnsi="Cambria Math"/>
          </w:rPr>
          <m:t>"t"</m:t>
        </m:r>
      </m:oMath>
      <w:r w:rsidRPr="008A5315">
        <w:rPr>
          <w:rFonts w:eastAsiaTheme="minorEastAsia"/>
        </w:rPr>
        <w:t xml:space="preserve"> referem-se às unidades </w:t>
      </w:r>
      <w:proofErr w:type="spellStart"/>
      <w:r w:rsidRPr="008A5315">
        <w:rPr>
          <w:rFonts w:eastAsiaTheme="minorEastAsia"/>
          <w:i/>
          <w:iCs/>
        </w:rPr>
        <w:t>cross-section</w:t>
      </w:r>
      <w:proofErr w:type="spellEnd"/>
      <w:r w:rsidRPr="008A5315">
        <w:rPr>
          <w:rFonts w:eastAsiaTheme="minorEastAsia"/>
        </w:rPr>
        <w:t xml:space="preserve"> (ou </w:t>
      </w:r>
      <w:r w:rsidR="00FF5213" w:rsidRPr="008A5315">
        <w:rPr>
          <w:rFonts w:eastAsiaTheme="minorEastAsia"/>
        </w:rPr>
        <w:t>municípi</w:t>
      </w:r>
      <w:r w:rsidRPr="008A5315">
        <w:rPr>
          <w:rFonts w:eastAsiaTheme="minorEastAsia"/>
        </w:rPr>
        <w:t>os) e ao tempo, respectivamente. A variável dependente</w:t>
      </w:r>
      <m:oMath>
        <m:r>
          <w:rPr>
            <w:rFonts w:ascii="Cambria Math" w:hAnsi="Cambria Math"/>
          </w:rPr>
          <m:t xml:space="preserve"> IFD</m:t>
        </m:r>
        <m:sSub>
          <m:sSubPr>
            <m:ctrlPr>
              <w:rPr>
                <w:rFonts w:ascii="Cambria Math" w:hAnsi="Cambria Math"/>
                <w:i/>
              </w:rPr>
            </m:ctrlPr>
          </m:sSubPr>
          <m:e>
            <m:r>
              <w:rPr>
                <w:rFonts w:ascii="Cambria Math" w:hAnsi="Cambria Math"/>
              </w:rPr>
              <m:t>M</m:t>
            </m:r>
          </m:e>
          <m:sub>
            <m:r>
              <w:rPr>
                <w:rFonts w:ascii="Cambria Math" w:hAnsi="Cambria Math"/>
              </w:rPr>
              <m:t>it</m:t>
            </m:r>
          </m:sub>
        </m:sSub>
      </m:oMath>
      <w:r w:rsidRPr="008A5315">
        <w:rPr>
          <w:rFonts w:eastAsiaTheme="minorEastAsia"/>
        </w:rPr>
        <w:t xml:space="preserve"> representa o indicador de pobreza municipal. </w:t>
      </w:r>
      <w:r w:rsidR="008B2DF1" w:rsidRPr="008A5315">
        <w:rPr>
          <w:rFonts w:eastAsiaTheme="minorEastAsia"/>
        </w:rPr>
        <w:t>Sendo o</w:t>
      </w:r>
      <w:r w:rsidRPr="008A5315">
        <w:t xml:space="preserve"> parâmetro “</w:t>
      </w:r>
      <m:oMath>
        <m:r>
          <w:rPr>
            <w:rFonts w:ascii="Cambria Math" w:hAnsi="Cambria Math"/>
          </w:rPr>
          <m:t>α</m:t>
        </m:r>
      </m:oMath>
      <w:r w:rsidR="008B2DF1" w:rsidRPr="008A5315">
        <w:t xml:space="preserve">” </w:t>
      </w:r>
      <w:r w:rsidRPr="008A5315">
        <w:t xml:space="preserve">o intercepto comum a todas as unidades </w:t>
      </w:r>
      <w:proofErr w:type="spellStart"/>
      <w:r w:rsidRPr="008A5315">
        <w:rPr>
          <w:i/>
          <w:iCs/>
        </w:rPr>
        <w:t>cross-section</w:t>
      </w:r>
      <w:proofErr w:type="spellEnd"/>
      <w:r w:rsidR="004A7611" w:rsidRPr="008A5315">
        <w:t xml:space="preserve">, </w:t>
      </w:r>
      <w:r w:rsidRPr="008A5315">
        <w:t>“</w:t>
      </w:r>
      <m:oMath>
        <m:sSub>
          <m:sSubPr>
            <m:ctrlPr>
              <w:rPr>
                <w:rFonts w:ascii="Cambria Math" w:hAnsi="Cambria Math"/>
                <w:i/>
              </w:rPr>
            </m:ctrlPr>
          </m:sSubPr>
          <m:e>
            <m:r>
              <w:rPr>
                <w:rFonts w:ascii="Cambria Math" w:hAnsi="Cambria Math"/>
              </w:rPr>
              <m:t>μ</m:t>
            </m:r>
          </m:e>
          <m:sub>
            <m:r>
              <w:rPr>
                <w:rFonts w:ascii="Cambria Math" w:hAnsi="Cambria Math"/>
              </w:rPr>
              <m:t>i</m:t>
            </m:r>
          </m:sub>
        </m:sSub>
      </m:oMath>
      <w:r w:rsidR="008B2DF1" w:rsidRPr="008A5315">
        <w:t xml:space="preserve">” </w:t>
      </w:r>
      <w:r w:rsidRPr="008A5315">
        <w:t>o parâmetro de intercepto desconhecido para cada indivíduo</w:t>
      </w:r>
      <w:r w:rsidR="004A7611" w:rsidRPr="008A5315">
        <w:t xml:space="preserve">, além </w:t>
      </w:r>
      <w:r w:rsidR="004A7611" w:rsidRPr="008A5315">
        <w:lastRenderedPageBreak/>
        <w:t xml:space="preserve">de </w:t>
      </w:r>
      <w:r w:rsidRPr="008A5315">
        <w:t>representa</w:t>
      </w:r>
      <w:r w:rsidR="004A7611" w:rsidRPr="008A5315">
        <w:t>r</w:t>
      </w:r>
      <w:r w:rsidRPr="008A5315">
        <w:t xml:space="preserve"> a heterogeneidade não observada do modelo</w:t>
      </w:r>
      <w:r w:rsidR="008B2DF1" w:rsidRPr="008A5315">
        <w:t>,</w:t>
      </w:r>
      <w:r w:rsidRPr="008A5315">
        <w:t xml:space="preserve"> e </w:t>
      </w:r>
      <m:oMath>
        <m:sSub>
          <m:sSubPr>
            <m:ctrlPr>
              <w:rPr>
                <w:rFonts w:ascii="Cambria Math" w:hAnsi="Cambria Math"/>
              </w:rPr>
            </m:ctrlPr>
          </m:sSubPr>
          <m:e>
            <m:r>
              <w:rPr>
                <w:rFonts w:ascii="Cambria Math" w:hAnsi="Cambria Math"/>
              </w:rPr>
              <m:t>"ε</m:t>
            </m:r>
          </m:e>
          <m:sub>
            <m:r>
              <w:rPr>
                <w:rFonts w:ascii="Cambria Math" w:hAnsi="Cambria Math"/>
              </w:rPr>
              <m:t>it</m:t>
            </m:r>
          </m:sub>
        </m:sSub>
        <m:r>
          <w:rPr>
            <w:rFonts w:ascii="Cambria Math" w:eastAsiaTheme="minorEastAsia" w:hAnsi="Cambria Math"/>
          </w:rPr>
          <m:t>"</m:t>
        </m:r>
      </m:oMath>
      <w:r w:rsidRPr="008A5315">
        <w:t xml:space="preserve"> o termo de erro estocástic</w:t>
      </w:r>
      <w:r w:rsidR="004A7611" w:rsidRPr="008A5315">
        <w:t>o idiossincrático (individual).</w:t>
      </w:r>
      <w:r w:rsidR="003E0755" w:rsidRPr="008A5315">
        <w:t xml:space="preserve"> </w:t>
      </w:r>
      <w:r w:rsidR="00BF5BBE" w:rsidRPr="008A5315">
        <w:t xml:space="preserve">Por sua vez, os termos </w:t>
      </w:r>
      <m:oMath>
        <m:r>
          <w:rPr>
            <w:rFonts w:ascii="Cambria Math" w:hAnsi="Cambria Math"/>
          </w:rPr>
          <m:t>lnCorru</m:t>
        </m:r>
        <m:sSub>
          <m:sSubPr>
            <m:ctrlPr>
              <w:rPr>
                <w:rFonts w:ascii="Cambria Math" w:hAnsi="Cambria Math"/>
                <w:i/>
              </w:rPr>
            </m:ctrlPr>
          </m:sSubPr>
          <m:e>
            <m:r>
              <w:rPr>
                <w:rFonts w:ascii="Cambria Math" w:hAnsi="Cambria Math"/>
              </w:rPr>
              <m:t>p</m:t>
            </m:r>
          </m:e>
          <m:sub>
            <m:r>
              <w:rPr>
                <w:rFonts w:ascii="Cambria Math" w:hAnsi="Cambria Math"/>
              </w:rPr>
              <m:t>it</m:t>
            </m:r>
          </m:sub>
        </m:sSub>
      </m:oMath>
      <w:r w:rsidR="003E0755" w:rsidRPr="008A5315">
        <w:rPr>
          <w:rFonts w:eastAsiaTheme="minorEastAsia"/>
        </w:rPr>
        <w:t>;</w:t>
      </w:r>
      <w:r w:rsidR="003E0755" w:rsidRPr="008A5315">
        <w:rPr>
          <w:rFonts w:eastAsiaTheme="minorEastAsia"/>
          <w:vertAlign w:val="subscript"/>
        </w:rPr>
        <w:t xml:space="preserve"> </w:t>
      </w:r>
      <m:oMath>
        <m:r>
          <w:rPr>
            <w:rFonts w:ascii="Cambria Math" w:eastAsiaTheme="minorEastAsia" w:hAnsi="Cambria Math"/>
            <w:vertAlign w:val="subscript"/>
          </w:rPr>
          <m:t>ln</m:t>
        </m:r>
        <m:r>
          <w:rPr>
            <w:rFonts w:ascii="Cambria Math" w:hAnsi="Cambria Math"/>
          </w:rPr>
          <m:t>TGo</m:t>
        </m:r>
        <m:sSub>
          <m:sSubPr>
            <m:ctrlPr>
              <w:rPr>
                <w:rFonts w:ascii="Cambria Math" w:hAnsi="Cambria Math"/>
                <w:i/>
              </w:rPr>
            </m:ctrlPr>
          </m:sSubPr>
          <m:e>
            <m:r>
              <w:rPr>
                <w:rFonts w:ascii="Cambria Math" w:hAnsi="Cambria Math"/>
              </w:rPr>
              <m:t>v</m:t>
            </m:r>
          </m:e>
          <m:sub>
            <m:r>
              <w:rPr>
                <w:rFonts w:ascii="Cambria Math" w:hAnsi="Cambria Math"/>
              </w:rPr>
              <m:t>it</m:t>
            </m:r>
          </m:sub>
        </m:sSub>
      </m:oMath>
      <w:r w:rsidR="003E0755" w:rsidRPr="008A5315">
        <w:rPr>
          <w:rFonts w:eastAsiaTheme="minorEastAsia"/>
        </w:rPr>
        <w:t xml:space="preserve">; </w:t>
      </w:r>
      <m:oMath>
        <m:r>
          <w:rPr>
            <w:rFonts w:ascii="Cambria Math" w:eastAsiaTheme="minorEastAsia" w:hAnsi="Cambria Math"/>
          </w:rPr>
          <m:t>ln</m:t>
        </m:r>
        <m:r>
          <w:rPr>
            <w:rFonts w:ascii="Cambria Math" w:hAnsi="Cambria Math"/>
          </w:rPr>
          <m:t>Prod</m:t>
        </m:r>
        <m:sSub>
          <m:sSubPr>
            <m:ctrlPr>
              <w:rPr>
                <w:rFonts w:ascii="Cambria Math" w:hAnsi="Cambria Math"/>
                <w:i/>
              </w:rPr>
            </m:ctrlPr>
          </m:sSubPr>
          <m:e>
            <m:r>
              <w:rPr>
                <w:rFonts w:ascii="Cambria Math" w:hAnsi="Cambria Math"/>
              </w:rPr>
              <m:t>G</m:t>
            </m:r>
          </m:e>
          <m:sub>
            <m:r>
              <w:rPr>
                <w:rFonts w:ascii="Cambria Math" w:hAnsi="Cambria Math"/>
              </w:rPr>
              <m:t>it</m:t>
            </m:r>
          </m:sub>
        </m:sSub>
      </m:oMath>
      <w:r w:rsidR="003E0755" w:rsidRPr="008A5315">
        <w:rPr>
          <w:rFonts w:eastAsiaTheme="minorEastAsia"/>
        </w:rPr>
        <w:t xml:space="preserve">; </w:t>
      </w:r>
      <m:oMath>
        <m:r>
          <w:rPr>
            <w:rFonts w:ascii="Cambria Math" w:eastAsiaTheme="minorEastAsia" w:hAnsi="Cambria Math"/>
          </w:rPr>
          <m:t>ln</m:t>
        </m:r>
        <m:r>
          <w:rPr>
            <w:rFonts w:ascii="Cambria Math" w:hAnsi="Cambria Math"/>
          </w:rPr>
          <m:t>PIBp</m:t>
        </m:r>
        <m:sSub>
          <m:sSubPr>
            <m:ctrlPr>
              <w:rPr>
                <w:rFonts w:ascii="Cambria Math" w:hAnsi="Cambria Math"/>
                <w:i/>
              </w:rPr>
            </m:ctrlPr>
          </m:sSubPr>
          <m:e>
            <m:r>
              <w:rPr>
                <w:rFonts w:ascii="Cambria Math" w:hAnsi="Cambria Math"/>
              </w:rPr>
              <m:t>c</m:t>
            </m:r>
          </m:e>
          <m:sub>
            <m:r>
              <w:rPr>
                <w:rFonts w:ascii="Cambria Math" w:hAnsi="Cambria Math"/>
              </w:rPr>
              <m:t>it</m:t>
            </m:r>
          </m:sub>
        </m:sSub>
      </m:oMath>
      <w:r w:rsidR="003E0755" w:rsidRPr="008A5315">
        <w:rPr>
          <w:rFonts w:eastAsiaTheme="minorEastAsia"/>
        </w:rPr>
        <w:t>;</w:t>
      </w:r>
      <m:oMath>
        <m:r>
          <w:rPr>
            <w:rFonts w:ascii="Cambria Math" w:hAnsi="Cambria Math"/>
          </w:rPr>
          <m:t xml:space="preserve"> lnPo</m:t>
        </m:r>
        <m:sSub>
          <m:sSubPr>
            <m:ctrlPr>
              <w:rPr>
                <w:rFonts w:ascii="Cambria Math" w:hAnsi="Cambria Math"/>
                <w:i/>
              </w:rPr>
            </m:ctrlPr>
          </m:sSubPr>
          <m:e>
            <m:r>
              <w:rPr>
                <w:rFonts w:ascii="Cambria Math" w:hAnsi="Cambria Math"/>
              </w:rPr>
              <m:t>p</m:t>
            </m:r>
          </m:e>
          <m:sub>
            <m:r>
              <w:rPr>
                <w:rFonts w:ascii="Cambria Math" w:hAnsi="Cambria Math"/>
              </w:rPr>
              <m:t>it</m:t>
            </m:r>
          </m:sub>
        </m:sSub>
        <m:r>
          <w:rPr>
            <w:rFonts w:ascii="Cambria Math" w:eastAsiaTheme="minorEastAsia" w:hAnsi="Cambria Math"/>
          </w:rPr>
          <m:t xml:space="preserve"> e ln</m:t>
        </m:r>
        <m:r>
          <w:rPr>
            <w:rFonts w:ascii="Cambria Math" w:hAnsi="Cambria Math"/>
          </w:rPr>
          <m:t>Pop</m:t>
        </m:r>
        <m:sSub>
          <m:sSubPr>
            <m:ctrlPr>
              <w:rPr>
                <w:rFonts w:ascii="Cambria Math" w:hAnsi="Cambria Math"/>
                <w:i/>
              </w:rPr>
            </m:ctrlPr>
          </m:sSubPr>
          <m:e>
            <m:r>
              <w:rPr>
                <w:rFonts w:ascii="Cambria Math" w:hAnsi="Cambria Math"/>
              </w:rPr>
              <m:t>I</m:t>
            </m:r>
          </m:e>
          <m:sub>
            <m:r>
              <w:rPr>
                <w:rFonts w:ascii="Cambria Math" w:hAnsi="Cambria Math"/>
              </w:rPr>
              <m:t>it</m:t>
            </m:r>
          </m:sub>
        </m:sSub>
      </m:oMath>
      <w:r w:rsidR="00BF5BBE" w:rsidRPr="008A5315">
        <w:rPr>
          <w:rFonts w:eastAsiaTheme="minorEastAsia"/>
        </w:rPr>
        <w:t xml:space="preserve"> representam, respectivamente, as variáveis explicativas “corrupção”; “tamanho do governo”; “produtividade dos gastos”; “PIB </w:t>
      </w:r>
      <w:r w:rsidR="00BF5BBE" w:rsidRPr="008A5315">
        <w:rPr>
          <w:rFonts w:eastAsiaTheme="minorEastAsia"/>
          <w:i/>
        </w:rPr>
        <w:t>per capita</w:t>
      </w:r>
      <w:r w:rsidR="00BF5BBE" w:rsidRPr="008A5315">
        <w:rPr>
          <w:rFonts w:eastAsiaTheme="minorEastAsia"/>
        </w:rPr>
        <w:t xml:space="preserve">”; “população” e “população idosa”, além </w:t>
      </w:r>
      <w:r w:rsidR="007C07D0" w:rsidRPr="008A5315">
        <w:rPr>
          <w:rFonts w:eastAsiaTheme="minorEastAsia"/>
        </w:rPr>
        <w:t xml:space="preserve">das </w:t>
      </w:r>
      <w:proofErr w:type="spellStart"/>
      <w:r w:rsidR="007C07D0" w:rsidRPr="008A5315">
        <w:rPr>
          <w:rFonts w:eastAsiaTheme="minorEastAsia"/>
          <w:i/>
        </w:rPr>
        <w:t>dummies</w:t>
      </w:r>
      <w:proofErr w:type="spellEnd"/>
      <w:r w:rsidR="007C07D0" w:rsidRPr="008A5315">
        <w:rPr>
          <w:rFonts w:eastAsiaTheme="minorEastAsia"/>
          <w:i/>
        </w:rPr>
        <w:t xml:space="preserve"> </w:t>
      </w:r>
      <w:r w:rsidR="007C07D0" w:rsidRPr="008A5315">
        <w:rPr>
          <w:rFonts w:eastAsiaTheme="minorEastAsia"/>
        </w:rPr>
        <w:t>de tempo,</w:t>
      </w:r>
      <w:r w:rsidR="003E0755" w:rsidRPr="008A5315">
        <w:rPr>
          <w:rFonts w:eastAsiaTheme="minorEastAsia"/>
        </w:rPr>
        <w:t xml:space="preserve"> </w:t>
      </w:r>
      <m:oMath>
        <m:r>
          <w:rPr>
            <w:rFonts w:ascii="Cambria Math" w:hAnsi="Cambria Math"/>
          </w:rPr>
          <m:t>Dtemp</m:t>
        </m:r>
        <m:sSub>
          <m:sSubPr>
            <m:ctrlPr>
              <w:rPr>
                <w:rFonts w:ascii="Cambria Math" w:hAnsi="Cambria Math"/>
                <w:i/>
              </w:rPr>
            </m:ctrlPr>
          </m:sSubPr>
          <m:e>
            <m:r>
              <w:rPr>
                <w:rFonts w:ascii="Cambria Math" w:hAnsi="Cambria Math"/>
              </w:rPr>
              <m:t>o</m:t>
            </m:r>
          </m:e>
          <m:sub>
            <m:r>
              <w:rPr>
                <w:rFonts w:ascii="Cambria Math" w:hAnsi="Cambria Math"/>
              </w:rPr>
              <m:t>it</m:t>
            </m:r>
          </m:sub>
        </m:sSub>
        <m:r>
          <m:rPr>
            <m:sty m:val="p"/>
          </m:rPr>
          <w:rPr>
            <w:rFonts w:ascii="Cambria Math" w:hAnsi="Cambria Math"/>
          </w:rPr>
          <m:t>,</m:t>
        </m:r>
      </m:oMath>
      <w:r w:rsidR="007C07D0" w:rsidRPr="008A5315">
        <w:rPr>
          <w:rFonts w:eastAsiaTheme="minorEastAsia"/>
        </w:rPr>
        <w:t xml:space="preserve"> incluídas com o intuito de verificar o quão o fator tempo impacta a pobreza. </w:t>
      </w:r>
      <w:r w:rsidR="008B2DF1" w:rsidRPr="008A5315">
        <w:rPr>
          <w:rFonts w:eastAsiaTheme="minorEastAsia"/>
        </w:rPr>
        <w:t>Já o</w:t>
      </w:r>
      <w:r w:rsidR="00BF5BBE" w:rsidRPr="008A5315">
        <w:t xml:space="preserve"> parâmetro</w:t>
      </w:r>
      <w:r w:rsidR="008B2DF1" w:rsidRPr="008A5315">
        <w:t xml:space="preserve"> “</w:t>
      </w:r>
      <m:oMath>
        <m:r>
          <w:rPr>
            <w:rFonts w:ascii="Cambria Math" w:hAnsi="Cambria Math"/>
          </w:rPr>
          <m:t>β</m:t>
        </m:r>
      </m:oMath>
      <w:r w:rsidR="008B2DF1" w:rsidRPr="008A5315">
        <w:t xml:space="preserve">” </w:t>
      </w:r>
      <w:r w:rsidR="00BF5BBE" w:rsidRPr="008A5315">
        <w:t xml:space="preserve">é o coeficiente </w:t>
      </w:r>
      <w:r w:rsidR="007C07D0" w:rsidRPr="008A5315">
        <w:t>associado</w:t>
      </w:r>
      <w:r w:rsidR="00BF5BBE" w:rsidRPr="008A5315">
        <w:t xml:space="preserve"> a cada um</w:t>
      </w:r>
      <w:r w:rsidR="007C07D0" w:rsidRPr="008A5315">
        <w:t>a dessas variáveis.</w:t>
      </w:r>
    </w:p>
    <w:p w14:paraId="4511BA0D" w14:textId="4B643BA2" w:rsidR="006E75D0" w:rsidRPr="008A5315" w:rsidRDefault="006E75D0" w:rsidP="000C2FDC">
      <w:pPr>
        <w:spacing w:line="360" w:lineRule="auto"/>
        <w:ind w:firstLine="709"/>
        <w:jc w:val="both"/>
      </w:pPr>
      <w:r w:rsidRPr="008A5315">
        <w:t>A metodologia de dados em painel pressupõe a construção de modelos com efeitos fixos ou com efeitos aleatórios. Para tal é necessário analisar se o parâmetro “</w:t>
      </w:r>
      <m:oMath>
        <m:sSub>
          <m:sSubPr>
            <m:ctrlPr>
              <w:rPr>
                <w:rFonts w:ascii="Cambria Math" w:hAnsi="Cambria Math"/>
                <w:i/>
              </w:rPr>
            </m:ctrlPr>
          </m:sSubPr>
          <m:e>
            <m:r>
              <w:rPr>
                <w:rFonts w:ascii="Cambria Math" w:hAnsi="Cambria Math"/>
              </w:rPr>
              <m:t>μ</m:t>
            </m:r>
          </m:e>
          <m:sub>
            <m:r>
              <w:rPr>
                <w:rFonts w:ascii="Cambria Math" w:hAnsi="Cambria Math"/>
              </w:rPr>
              <m:t>i</m:t>
            </m:r>
          </m:sub>
        </m:sSub>
      </m:oMath>
      <w:r w:rsidRPr="008A5315">
        <w:t>” é ou não correlacionado com as variáveis explicativas do modelo. A exis</w:t>
      </w:r>
      <w:r w:rsidR="00757303" w:rsidRPr="008A5315">
        <w:t>tência de correlação de “</w:t>
      </w:r>
      <m:oMath>
        <m:sSub>
          <m:sSubPr>
            <m:ctrlPr>
              <w:rPr>
                <w:rFonts w:ascii="Cambria Math" w:hAnsi="Cambria Math"/>
                <w:i/>
              </w:rPr>
            </m:ctrlPr>
          </m:sSubPr>
          <m:e>
            <m:r>
              <w:rPr>
                <w:rFonts w:ascii="Cambria Math" w:hAnsi="Cambria Math"/>
              </w:rPr>
              <m:t>μ</m:t>
            </m:r>
          </m:e>
          <m:sub>
            <m:r>
              <w:rPr>
                <w:rFonts w:ascii="Cambria Math" w:hAnsi="Cambria Math"/>
              </w:rPr>
              <m:t>i</m:t>
            </m:r>
          </m:sub>
        </m:sSub>
      </m:oMath>
      <w:r w:rsidR="00757303" w:rsidRPr="008A5315">
        <w:t>”   com tais variáveis</w:t>
      </w:r>
      <w:r w:rsidRPr="008A5315">
        <w:t xml:space="preserve"> exige uma técnica de estimação que elimine este efeito, como por exemplo, a aplicação da primeira diferença ou estimação por efeitos fixos. Por outro lado, a eficiência das estimativas melhora ao utilizar </w:t>
      </w:r>
      <w:r w:rsidR="008C1075" w:rsidRPr="008A5315">
        <w:t>o modelo com efeitos aleatórios por</w:t>
      </w:r>
      <w:r w:rsidRPr="008A5315">
        <w:t xml:space="preserve"> garantir</w:t>
      </w:r>
      <w:r w:rsidR="00757303" w:rsidRPr="008A5315">
        <w:t xml:space="preserve"> </w:t>
      </w:r>
      <w:r w:rsidRPr="008A5315">
        <w:t>que não haja correlação entre estes elementos.</w:t>
      </w:r>
    </w:p>
    <w:p w14:paraId="541B708B" w14:textId="1EEC4183" w:rsidR="00764217" w:rsidRPr="008A5315" w:rsidRDefault="00757303" w:rsidP="000C2FDC">
      <w:pPr>
        <w:spacing w:line="360" w:lineRule="auto"/>
        <w:ind w:firstLine="709"/>
        <w:jc w:val="both"/>
      </w:pPr>
      <w:r w:rsidRPr="008A5315">
        <w:t>Para a</w:t>
      </w:r>
      <w:r w:rsidR="006E75D0" w:rsidRPr="008A5315">
        <w:t xml:space="preserve"> escolha </w:t>
      </w:r>
      <w:r w:rsidRPr="008A5315">
        <w:t>do modelo mais adequado considerou-se os resultados dos seguintes</w:t>
      </w:r>
      <w:r w:rsidR="00767C74" w:rsidRPr="008A5315">
        <w:t xml:space="preserve"> testes estatísticos: </w:t>
      </w:r>
      <w:r w:rsidR="006E75D0" w:rsidRPr="008A5315">
        <w:t xml:space="preserve">Teste de </w:t>
      </w:r>
      <w:proofErr w:type="spellStart"/>
      <w:r w:rsidR="006E75D0" w:rsidRPr="008A5315">
        <w:t>Chow</w:t>
      </w:r>
      <w:proofErr w:type="spellEnd"/>
      <w:r w:rsidR="006E75D0" w:rsidRPr="008A5315">
        <w:t xml:space="preserve">, o Teste LM de </w:t>
      </w:r>
      <w:proofErr w:type="spellStart"/>
      <w:r w:rsidR="006E75D0" w:rsidRPr="008A5315">
        <w:t>Breusch-Pagan</w:t>
      </w:r>
      <w:proofErr w:type="spellEnd"/>
      <w:r w:rsidR="006E75D0" w:rsidRPr="008A5315">
        <w:t xml:space="preserve"> e o Teste de </w:t>
      </w:r>
      <w:proofErr w:type="spellStart"/>
      <w:r w:rsidR="006E75D0" w:rsidRPr="008A5315">
        <w:t>Hausman</w:t>
      </w:r>
      <w:proofErr w:type="spellEnd"/>
      <w:r w:rsidR="006E75D0" w:rsidRPr="008A5315">
        <w:rPr>
          <w:rStyle w:val="Refdenotaderodap"/>
        </w:rPr>
        <w:footnoteReference w:id="7"/>
      </w:r>
      <w:r w:rsidR="002D076C" w:rsidRPr="008A5315">
        <w:t>. A Tabela 2</w:t>
      </w:r>
      <w:r w:rsidR="006E75D0" w:rsidRPr="008A5315">
        <w:t xml:space="preserve"> especifica os resultados dos testes para definição do modelo escolhido.</w:t>
      </w:r>
    </w:p>
    <w:p w14:paraId="45E2753D" w14:textId="77777777" w:rsidR="00904EE7" w:rsidRPr="008A5315" w:rsidRDefault="00904EE7" w:rsidP="00904EE7">
      <w:pPr>
        <w:jc w:val="both"/>
      </w:pPr>
    </w:p>
    <w:p w14:paraId="3BB96CF2" w14:textId="18F9E81F" w:rsidR="00694585" w:rsidRPr="008A5315" w:rsidRDefault="002D076C" w:rsidP="00904EE7">
      <w:pPr>
        <w:jc w:val="both"/>
      </w:pPr>
      <w:r w:rsidRPr="008A5315">
        <w:t>Tabela 2</w:t>
      </w:r>
      <w:r w:rsidR="0034178C" w:rsidRPr="008A5315">
        <w:t>: Testes E</w:t>
      </w:r>
      <w:r w:rsidR="00694585" w:rsidRPr="008A5315">
        <w:t>statísticos</w:t>
      </w:r>
      <w:r w:rsidR="00805180" w:rsidRPr="008A5315">
        <w:t>.</w:t>
      </w:r>
    </w:p>
    <w:tbl>
      <w:tblPr>
        <w:tblW w:w="5001" w:type="pct"/>
        <w:tblLayout w:type="fixed"/>
        <w:tblCellMar>
          <w:left w:w="70" w:type="dxa"/>
          <w:right w:w="70" w:type="dxa"/>
        </w:tblCellMar>
        <w:tblLook w:val="04A0" w:firstRow="1" w:lastRow="0" w:firstColumn="1" w:lastColumn="0" w:noHBand="0" w:noVBand="1"/>
      </w:tblPr>
      <w:tblGrid>
        <w:gridCol w:w="1563"/>
        <w:gridCol w:w="1272"/>
        <w:gridCol w:w="746"/>
        <w:gridCol w:w="161"/>
        <w:gridCol w:w="1483"/>
        <w:gridCol w:w="947"/>
        <w:gridCol w:w="289"/>
        <w:gridCol w:w="1766"/>
        <w:gridCol w:w="846"/>
      </w:tblGrid>
      <w:tr w:rsidR="00132476" w:rsidRPr="008A5315" w14:paraId="2C8BE335" w14:textId="77777777" w:rsidTr="005D6070">
        <w:trPr>
          <w:trHeight w:val="321"/>
        </w:trPr>
        <w:tc>
          <w:tcPr>
            <w:tcW w:w="861" w:type="pct"/>
            <w:tcBorders>
              <w:top w:val="single" w:sz="4" w:space="0" w:color="auto"/>
              <w:left w:val="nil"/>
              <w:bottom w:val="single" w:sz="4" w:space="0" w:color="auto"/>
              <w:right w:val="nil"/>
            </w:tcBorders>
            <w:shd w:val="clear" w:color="auto" w:fill="auto"/>
            <w:noWrap/>
            <w:vAlign w:val="center"/>
            <w:hideMark/>
          </w:tcPr>
          <w:p w14:paraId="29E0B317" w14:textId="77777777" w:rsidR="00694585" w:rsidRPr="008A5315" w:rsidRDefault="00694585" w:rsidP="00FC5384">
            <w:pPr>
              <w:jc w:val="center"/>
              <w:rPr>
                <w:sz w:val="20"/>
                <w:szCs w:val="20"/>
              </w:rPr>
            </w:pPr>
          </w:p>
        </w:tc>
        <w:tc>
          <w:tcPr>
            <w:tcW w:w="701" w:type="pct"/>
            <w:tcBorders>
              <w:top w:val="single" w:sz="4" w:space="0" w:color="auto"/>
              <w:left w:val="nil"/>
              <w:bottom w:val="single" w:sz="4" w:space="0" w:color="auto"/>
              <w:right w:val="nil"/>
            </w:tcBorders>
            <w:shd w:val="clear" w:color="auto" w:fill="auto"/>
            <w:noWrap/>
            <w:vAlign w:val="center"/>
            <w:hideMark/>
          </w:tcPr>
          <w:p w14:paraId="2C433560" w14:textId="0B7C5A60" w:rsidR="00694585" w:rsidRPr="008A5315" w:rsidRDefault="00110AA5" w:rsidP="00FC5384">
            <w:pPr>
              <w:jc w:val="center"/>
              <w:rPr>
                <w:sz w:val="20"/>
                <w:szCs w:val="20"/>
              </w:rPr>
            </w:pPr>
            <w:r w:rsidRPr="008A5315">
              <w:rPr>
                <w:sz w:val="20"/>
                <w:szCs w:val="20"/>
              </w:rPr>
              <w:t xml:space="preserve">Teste de </w:t>
            </w:r>
            <w:proofErr w:type="spellStart"/>
            <w:r w:rsidRPr="008A5315">
              <w:rPr>
                <w:sz w:val="20"/>
                <w:szCs w:val="20"/>
              </w:rPr>
              <w:t>Chow</w:t>
            </w:r>
            <w:proofErr w:type="spellEnd"/>
          </w:p>
        </w:tc>
        <w:tc>
          <w:tcPr>
            <w:tcW w:w="411" w:type="pct"/>
            <w:tcBorders>
              <w:top w:val="single" w:sz="4" w:space="0" w:color="auto"/>
              <w:left w:val="nil"/>
              <w:bottom w:val="single" w:sz="4" w:space="0" w:color="auto"/>
              <w:right w:val="nil"/>
            </w:tcBorders>
            <w:shd w:val="clear" w:color="auto" w:fill="auto"/>
            <w:noWrap/>
            <w:vAlign w:val="center"/>
            <w:hideMark/>
          </w:tcPr>
          <w:p w14:paraId="29636A4F" w14:textId="77777777" w:rsidR="00694585" w:rsidRPr="008A5315" w:rsidRDefault="00694585" w:rsidP="00FC5384">
            <w:pPr>
              <w:jc w:val="center"/>
              <w:rPr>
                <w:sz w:val="20"/>
                <w:szCs w:val="20"/>
              </w:rPr>
            </w:pPr>
            <w:r w:rsidRPr="008A5315">
              <w:rPr>
                <w:sz w:val="20"/>
                <w:szCs w:val="20"/>
              </w:rPr>
              <w:t>Decisão</w:t>
            </w:r>
          </w:p>
        </w:tc>
        <w:tc>
          <w:tcPr>
            <w:tcW w:w="89" w:type="pct"/>
            <w:tcBorders>
              <w:top w:val="single" w:sz="4" w:space="0" w:color="auto"/>
              <w:left w:val="nil"/>
              <w:bottom w:val="single" w:sz="4" w:space="0" w:color="auto"/>
              <w:right w:val="nil"/>
            </w:tcBorders>
            <w:shd w:val="clear" w:color="auto" w:fill="auto"/>
            <w:noWrap/>
            <w:vAlign w:val="center"/>
            <w:hideMark/>
          </w:tcPr>
          <w:p w14:paraId="65F228A5" w14:textId="77777777" w:rsidR="00694585" w:rsidRPr="008A5315" w:rsidRDefault="00694585" w:rsidP="00FC5384">
            <w:pPr>
              <w:jc w:val="center"/>
              <w:rPr>
                <w:sz w:val="20"/>
                <w:szCs w:val="20"/>
              </w:rPr>
            </w:pPr>
          </w:p>
        </w:tc>
        <w:tc>
          <w:tcPr>
            <w:tcW w:w="817" w:type="pct"/>
            <w:tcBorders>
              <w:top w:val="single" w:sz="4" w:space="0" w:color="auto"/>
              <w:left w:val="nil"/>
              <w:bottom w:val="single" w:sz="4" w:space="0" w:color="auto"/>
              <w:right w:val="nil"/>
            </w:tcBorders>
            <w:shd w:val="clear" w:color="auto" w:fill="auto"/>
            <w:noWrap/>
            <w:vAlign w:val="center"/>
            <w:hideMark/>
          </w:tcPr>
          <w:p w14:paraId="160E3AE1" w14:textId="2A0CED27" w:rsidR="00694585" w:rsidRPr="008A5315" w:rsidRDefault="00110AA5" w:rsidP="00FC5384">
            <w:pPr>
              <w:jc w:val="center"/>
              <w:rPr>
                <w:sz w:val="20"/>
                <w:szCs w:val="20"/>
              </w:rPr>
            </w:pPr>
            <w:r w:rsidRPr="008A5315">
              <w:rPr>
                <w:sz w:val="20"/>
                <w:szCs w:val="20"/>
              </w:rPr>
              <w:t xml:space="preserve">Teste LM de </w:t>
            </w:r>
            <w:proofErr w:type="spellStart"/>
            <w:r w:rsidRPr="008A5315">
              <w:rPr>
                <w:sz w:val="20"/>
                <w:szCs w:val="20"/>
              </w:rPr>
              <w:t>Breusch-Pagan</w:t>
            </w:r>
            <w:proofErr w:type="spellEnd"/>
          </w:p>
        </w:tc>
        <w:tc>
          <w:tcPr>
            <w:tcW w:w="522" w:type="pct"/>
            <w:tcBorders>
              <w:top w:val="single" w:sz="4" w:space="0" w:color="auto"/>
              <w:left w:val="nil"/>
              <w:bottom w:val="single" w:sz="4" w:space="0" w:color="auto"/>
              <w:right w:val="nil"/>
            </w:tcBorders>
            <w:shd w:val="clear" w:color="auto" w:fill="auto"/>
            <w:noWrap/>
            <w:vAlign w:val="center"/>
            <w:hideMark/>
          </w:tcPr>
          <w:p w14:paraId="3AF583A9" w14:textId="77777777" w:rsidR="00694585" w:rsidRPr="008A5315" w:rsidRDefault="00694585" w:rsidP="00FC5384">
            <w:pPr>
              <w:jc w:val="center"/>
              <w:rPr>
                <w:sz w:val="20"/>
                <w:szCs w:val="20"/>
              </w:rPr>
            </w:pPr>
            <w:r w:rsidRPr="008A5315">
              <w:rPr>
                <w:sz w:val="20"/>
                <w:szCs w:val="20"/>
              </w:rPr>
              <w:t>Decisão</w:t>
            </w:r>
          </w:p>
        </w:tc>
        <w:tc>
          <w:tcPr>
            <w:tcW w:w="159" w:type="pct"/>
            <w:tcBorders>
              <w:top w:val="single" w:sz="4" w:space="0" w:color="auto"/>
              <w:left w:val="nil"/>
              <w:bottom w:val="single" w:sz="4" w:space="0" w:color="auto"/>
              <w:right w:val="nil"/>
            </w:tcBorders>
            <w:shd w:val="clear" w:color="auto" w:fill="auto"/>
            <w:noWrap/>
            <w:vAlign w:val="center"/>
            <w:hideMark/>
          </w:tcPr>
          <w:p w14:paraId="77C8AD87" w14:textId="77777777" w:rsidR="00694585" w:rsidRPr="008A5315" w:rsidRDefault="00694585" w:rsidP="00FC5384">
            <w:pPr>
              <w:jc w:val="center"/>
              <w:rPr>
                <w:sz w:val="20"/>
                <w:szCs w:val="20"/>
              </w:rPr>
            </w:pPr>
          </w:p>
        </w:tc>
        <w:tc>
          <w:tcPr>
            <w:tcW w:w="973" w:type="pct"/>
            <w:tcBorders>
              <w:top w:val="single" w:sz="4" w:space="0" w:color="auto"/>
              <w:left w:val="nil"/>
              <w:bottom w:val="single" w:sz="4" w:space="0" w:color="auto"/>
              <w:right w:val="nil"/>
            </w:tcBorders>
            <w:shd w:val="clear" w:color="auto" w:fill="auto"/>
            <w:noWrap/>
            <w:vAlign w:val="center"/>
            <w:hideMark/>
          </w:tcPr>
          <w:p w14:paraId="68B60AA7" w14:textId="023F34CD" w:rsidR="00694585" w:rsidRPr="008A5315" w:rsidRDefault="00110AA5" w:rsidP="00FC5384">
            <w:pPr>
              <w:jc w:val="center"/>
              <w:rPr>
                <w:sz w:val="20"/>
                <w:szCs w:val="20"/>
              </w:rPr>
            </w:pPr>
            <w:r w:rsidRPr="008A5315">
              <w:rPr>
                <w:sz w:val="20"/>
                <w:szCs w:val="20"/>
              </w:rPr>
              <w:t xml:space="preserve">Teste de </w:t>
            </w:r>
            <w:proofErr w:type="spellStart"/>
            <w:r w:rsidRPr="008A5315">
              <w:rPr>
                <w:sz w:val="20"/>
                <w:szCs w:val="20"/>
              </w:rPr>
              <w:t>Hausman</w:t>
            </w:r>
            <w:proofErr w:type="spellEnd"/>
          </w:p>
        </w:tc>
        <w:tc>
          <w:tcPr>
            <w:tcW w:w="466" w:type="pct"/>
            <w:tcBorders>
              <w:top w:val="single" w:sz="4" w:space="0" w:color="auto"/>
              <w:left w:val="nil"/>
              <w:bottom w:val="single" w:sz="4" w:space="0" w:color="auto"/>
              <w:right w:val="nil"/>
            </w:tcBorders>
            <w:shd w:val="clear" w:color="auto" w:fill="auto"/>
            <w:noWrap/>
            <w:vAlign w:val="center"/>
            <w:hideMark/>
          </w:tcPr>
          <w:p w14:paraId="2AC39730" w14:textId="77777777" w:rsidR="00694585" w:rsidRPr="008A5315" w:rsidRDefault="00694585" w:rsidP="00FC5384">
            <w:pPr>
              <w:jc w:val="center"/>
              <w:rPr>
                <w:sz w:val="20"/>
                <w:szCs w:val="20"/>
              </w:rPr>
            </w:pPr>
            <w:r w:rsidRPr="008A5315">
              <w:rPr>
                <w:sz w:val="20"/>
                <w:szCs w:val="20"/>
              </w:rPr>
              <w:t>Decisão</w:t>
            </w:r>
          </w:p>
        </w:tc>
      </w:tr>
      <w:tr w:rsidR="00132476" w:rsidRPr="008A5315" w14:paraId="55E71FCC" w14:textId="77777777" w:rsidTr="005D6070">
        <w:trPr>
          <w:trHeight w:val="321"/>
        </w:trPr>
        <w:tc>
          <w:tcPr>
            <w:tcW w:w="861" w:type="pct"/>
            <w:tcBorders>
              <w:top w:val="nil"/>
              <w:left w:val="nil"/>
              <w:bottom w:val="single" w:sz="4" w:space="0" w:color="auto"/>
              <w:right w:val="nil"/>
            </w:tcBorders>
            <w:shd w:val="clear" w:color="auto" w:fill="auto"/>
            <w:noWrap/>
            <w:vAlign w:val="center"/>
          </w:tcPr>
          <w:p w14:paraId="4A8AE73D" w14:textId="77777777" w:rsidR="00110AA5" w:rsidRPr="008A5315" w:rsidRDefault="00110AA5" w:rsidP="00FC5384">
            <w:pPr>
              <w:rPr>
                <w:i/>
                <w:iCs/>
                <w:sz w:val="20"/>
                <w:szCs w:val="20"/>
              </w:rPr>
            </w:pPr>
          </w:p>
        </w:tc>
        <w:tc>
          <w:tcPr>
            <w:tcW w:w="701" w:type="pct"/>
            <w:tcBorders>
              <w:top w:val="nil"/>
              <w:left w:val="nil"/>
              <w:bottom w:val="single" w:sz="4" w:space="0" w:color="auto"/>
              <w:right w:val="nil"/>
            </w:tcBorders>
            <w:shd w:val="clear" w:color="auto" w:fill="auto"/>
            <w:noWrap/>
            <w:vAlign w:val="center"/>
          </w:tcPr>
          <w:p w14:paraId="4DD5DF2F" w14:textId="128CB1DF" w:rsidR="00110AA5" w:rsidRPr="008A5315" w:rsidRDefault="00174140" w:rsidP="00FC5384">
            <w:pPr>
              <w:jc w:val="center"/>
              <w:rPr>
                <w:sz w:val="20"/>
                <w:szCs w:val="20"/>
              </w:rPr>
            </w:pP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0</m:t>
                  </m:r>
                </m:sub>
              </m:sSub>
              <m:r>
                <w:rPr>
                  <w:rFonts w:ascii="Cambria Math" w:hAnsi="Cambria Math"/>
                  <w:sz w:val="20"/>
                  <w:szCs w:val="20"/>
                </w:rPr>
                <m:t xml:space="preserve">: </m:t>
              </m:r>
            </m:oMath>
            <w:r w:rsidR="00110AA5" w:rsidRPr="008A5315">
              <w:rPr>
                <w:rFonts w:eastAsiaTheme="minorEastAsia"/>
                <w:sz w:val="20"/>
                <w:szCs w:val="20"/>
              </w:rPr>
              <w:t xml:space="preserve">Todos os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u</m:t>
                  </m:r>
                </m:e>
                <m:sub>
                  <m:r>
                    <w:rPr>
                      <w:rFonts w:ascii="Cambria Math" w:eastAsiaTheme="minorEastAsia" w:hAnsi="Cambria Math"/>
                      <w:sz w:val="20"/>
                      <w:szCs w:val="20"/>
                    </w:rPr>
                    <m:t>i</m:t>
                  </m:r>
                </m:sub>
              </m:sSub>
            </m:oMath>
            <w:r w:rsidR="00110AA5" w:rsidRPr="008A5315">
              <w:rPr>
                <w:rFonts w:eastAsiaTheme="minorEastAsia"/>
                <w:sz w:val="20"/>
                <w:szCs w:val="20"/>
              </w:rPr>
              <w:t>’s = 0</w:t>
            </w:r>
          </w:p>
        </w:tc>
        <w:tc>
          <w:tcPr>
            <w:tcW w:w="411" w:type="pct"/>
            <w:tcBorders>
              <w:top w:val="nil"/>
              <w:left w:val="nil"/>
              <w:bottom w:val="single" w:sz="4" w:space="0" w:color="auto"/>
              <w:right w:val="nil"/>
            </w:tcBorders>
            <w:shd w:val="clear" w:color="auto" w:fill="auto"/>
            <w:noWrap/>
            <w:vAlign w:val="center"/>
          </w:tcPr>
          <w:p w14:paraId="20DFE79E" w14:textId="77777777" w:rsidR="00110AA5" w:rsidRPr="008A5315" w:rsidRDefault="00110AA5" w:rsidP="00FC5384">
            <w:pPr>
              <w:jc w:val="center"/>
              <w:rPr>
                <w:sz w:val="20"/>
                <w:szCs w:val="20"/>
              </w:rPr>
            </w:pPr>
          </w:p>
        </w:tc>
        <w:tc>
          <w:tcPr>
            <w:tcW w:w="89" w:type="pct"/>
            <w:tcBorders>
              <w:top w:val="nil"/>
              <w:left w:val="nil"/>
              <w:bottom w:val="single" w:sz="4" w:space="0" w:color="auto"/>
              <w:right w:val="nil"/>
            </w:tcBorders>
            <w:shd w:val="clear" w:color="auto" w:fill="auto"/>
            <w:noWrap/>
            <w:vAlign w:val="center"/>
          </w:tcPr>
          <w:p w14:paraId="48C54E32" w14:textId="77777777" w:rsidR="00110AA5" w:rsidRPr="008A5315" w:rsidRDefault="00110AA5" w:rsidP="00FC5384">
            <w:pPr>
              <w:jc w:val="center"/>
              <w:rPr>
                <w:sz w:val="20"/>
                <w:szCs w:val="20"/>
              </w:rPr>
            </w:pPr>
          </w:p>
        </w:tc>
        <w:tc>
          <w:tcPr>
            <w:tcW w:w="817" w:type="pct"/>
            <w:tcBorders>
              <w:top w:val="nil"/>
              <w:left w:val="nil"/>
              <w:bottom w:val="single" w:sz="4" w:space="0" w:color="auto"/>
              <w:right w:val="nil"/>
            </w:tcBorders>
            <w:shd w:val="clear" w:color="auto" w:fill="auto"/>
            <w:noWrap/>
            <w:vAlign w:val="center"/>
          </w:tcPr>
          <w:p w14:paraId="5455BE09" w14:textId="7193A05E" w:rsidR="00110AA5" w:rsidRPr="008A5315" w:rsidRDefault="00174140" w:rsidP="00FC5384">
            <w:pPr>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0</m:t>
                    </m:r>
                  </m:sub>
                </m:sSub>
                <m:r>
                  <w:rPr>
                    <w:rFonts w:ascii="Cambria Math" w:eastAsiaTheme="minorEastAsia" w:hAnsi="Cambria Math"/>
                    <w:sz w:val="20"/>
                    <w:szCs w:val="20"/>
                  </w:rPr>
                  <m:t>:Var</m:t>
                </m:r>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u</m:t>
                        </m:r>
                      </m:e>
                      <m:sub>
                        <m:r>
                          <w:rPr>
                            <w:rFonts w:ascii="Cambria Math" w:eastAsiaTheme="minorEastAsia" w:hAnsi="Cambria Math"/>
                            <w:sz w:val="20"/>
                            <w:szCs w:val="20"/>
                          </w:rPr>
                          <m:t>i</m:t>
                        </m:r>
                      </m:sub>
                    </m:sSub>
                  </m:e>
                </m:d>
                <m:r>
                  <w:rPr>
                    <w:rFonts w:ascii="Cambria Math" w:eastAsiaTheme="minorEastAsia" w:hAnsi="Cambria Math"/>
                    <w:sz w:val="20"/>
                    <w:szCs w:val="20"/>
                  </w:rPr>
                  <m:t>=0</m:t>
                </m:r>
              </m:oMath>
            </m:oMathPara>
          </w:p>
        </w:tc>
        <w:tc>
          <w:tcPr>
            <w:tcW w:w="522" w:type="pct"/>
            <w:tcBorders>
              <w:top w:val="nil"/>
              <w:left w:val="nil"/>
              <w:bottom w:val="single" w:sz="4" w:space="0" w:color="auto"/>
              <w:right w:val="nil"/>
            </w:tcBorders>
            <w:shd w:val="clear" w:color="auto" w:fill="auto"/>
            <w:noWrap/>
            <w:vAlign w:val="center"/>
          </w:tcPr>
          <w:p w14:paraId="7868525B" w14:textId="77777777" w:rsidR="00110AA5" w:rsidRPr="008A5315" w:rsidRDefault="00110AA5" w:rsidP="00FC5384">
            <w:pPr>
              <w:jc w:val="center"/>
              <w:rPr>
                <w:sz w:val="20"/>
                <w:szCs w:val="20"/>
              </w:rPr>
            </w:pPr>
          </w:p>
        </w:tc>
        <w:tc>
          <w:tcPr>
            <w:tcW w:w="159" w:type="pct"/>
            <w:tcBorders>
              <w:top w:val="nil"/>
              <w:left w:val="nil"/>
              <w:bottom w:val="single" w:sz="4" w:space="0" w:color="auto"/>
              <w:right w:val="nil"/>
            </w:tcBorders>
            <w:shd w:val="clear" w:color="auto" w:fill="auto"/>
            <w:noWrap/>
            <w:vAlign w:val="center"/>
          </w:tcPr>
          <w:p w14:paraId="552C6D43" w14:textId="77777777" w:rsidR="00110AA5" w:rsidRPr="008A5315" w:rsidRDefault="00110AA5" w:rsidP="00FC5384">
            <w:pPr>
              <w:jc w:val="center"/>
              <w:rPr>
                <w:sz w:val="20"/>
                <w:szCs w:val="20"/>
              </w:rPr>
            </w:pPr>
          </w:p>
        </w:tc>
        <w:tc>
          <w:tcPr>
            <w:tcW w:w="973" w:type="pct"/>
            <w:tcBorders>
              <w:top w:val="nil"/>
              <w:left w:val="nil"/>
              <w:bottom w:val="single" w:sz="4" w:space="0" w:color="auto"/>
              <w:right w:val="nil"/>
            </w:tcBorders>
            <w:shd w:val="clear" w:color="auto" w:fill="auto"/>
            <w:noWrap/>
            <w:vAlign w:val="center"/>
          </w:tcPr>
          <w:p w14:paraId="24687517" w14:textId="45AFE450" w:rsidR="00110AA5" w:rsidRPr="008A5315" w:rsidRDefault="00174140" w:rsidP="00FC5384">
            <w:pPr>
              <w:jc w:val="center"/>
              <w:rPr>
                <w:sz w:val="20"/>
                <w:szCs w:val="20"/>
              </w:rPr>
            </w:pP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0</m:t>
                  </m:r>
                </m:sub>
              </m:sSub>
              <m:r>
                <w:rPr>
                  <w:rFonts w:ascii="Cambria Math" w:hAnsi="Cambria Math"/>
                  <w:sz w:val="20"/>
                  <w:szCs w:val="20"/>
                </w:rPr>
                <m:t>:</m:t>
              </m:r>
            </m:oMath>
            <w:r w:rsidR="00592EF8" w:rsidRPr="008A5315">
              <w:rPr>
                <w:rFonts w:eastAsiaTheme="minorEastAsia"/>
                <w:sz w:val="20"/>
                <w:szCs w:val="20"/>
              </w:rPr>
              <w:t xml:space="preserve"> Diferença entre os coeficientes de Efeitos Fixos e Efeitos Aleatórios não sistemáticas*.</w:t>
            </w:r>
          </w:p>
        </w:tc>
        <w:tc>
          <w:tcPr>
            <w:tcW w:w="466" w:type="pct"/>
            <w:tcBorders>
              <w:top w:val="nil"/>
              <w:left w:val="nil"/>
              <w:bottom w:val="single" w:sz="4" w:space="0" w:color="auto"/>
              <w:right w:val="nil"/>
            </w:tcBorders>
            <w:shd w:val="clear" w:color="auto" w:fill="auto"/>
            <w:noWrap/>
            <w:vAlign w:val="center"/>
          </w:tcPr>
          <w:p w14:paraId="5660AD59" w14:textId="77777777" w:rsidR="00110AA5" w:rsidRPr="008A5315" w:rsidRDefault="00110AA5" w:rsidP="00FC5384">
            <w:pPr>
              <w:jc w:val="center"/>
              <w:rPr>
                <w:sz w:val="20"/>
                <w:szCs w:val="20"/>
              </w:rPr>
            </w:pPr>
          </w:p>
        </w:tc>
      </w:tr>
      <w:tr w:rsidR="00132476" w:rsidRPr="008A5315" w14:paraId="2188E1B5" w14:textId="77777777" w:rsidTr="005D6070">
        <w:trPr>
          <w:trHeight w:val="321"/>
        </w:trPr>
        <w:tc>
          <w:tcPr>
            <w:tcW w:w="861" w:type="pct"/>
            <w:tcBorders>
              <w:top w:val="single" w:sz="4" w:space="0" w:color="auto"/>
              <w:left w:val="nil"/>
              <w:bottom w:val="nil"/>
              <w:right w:val="nil"/>
            </w:tcBorders>
            <w:shd w:val="clear" w:color="auto" w:fill="auto"/>
            <w:noWrap/>
            <w:vAlign w:val="center"/>
            <w:hideMark/>
          </w:tcPr>
          <w:p w14:paraId="0D9828C5" w14:textId="5BA41E3E" w:rsidR="00110AA5" w:rsidRPr="008A5315" w:rsidRDefault="004A347B" w:rsidP="004A347B">
            <w:pPr>
              <w:rPr>
                <w:sz w:val="20"/>
                <w:szCs w:val="20"/>
              </w:rPr>
            </w:pPr>
            <w:r w:rsidRPr="008A5315">
              <w:rPr>
                <w:i/>
                <w:iCs/>
                <w:sz w:val="20"/>
                <w:szCs w:val="20"/>
              </w:rPr>
              <w:t xml:space="preserve">i) </w:t>
            </w:r>
            <w:proofErr w:type="spellStart"/>
            <w:r w:rsidR="00110AA5" w:rsidRPr="008A5315">
              <w:rPr>
                <w:i/>
                <w:iCs/>
                <w:sz w:val="20"/>
                <w:szCs w:val="20"/>
              </w:rPr>
              <w:t>Pooled</w:t>
            </w:r>
            <w:proofErr w:type="spellEnd"/>
            <w:r w:rsidR="00110AA5" w:rsidRPr="008A5315">
              <w:rPr>
                <w:sz w:val="20"/>
                <w:szCs w:val="20"/>
              </w:rPr>
              <w:t xml:space="preserve"> </w:t>
            </w:r>
            <w:r w:rsidR="00110AA5" w:rsidRPr="008A5315">
              <w:rPr>
                <w:i/>
                <w:iCs/>
                <w:sz w:val="20"/>
                <w:szCs w:val="20"/>
              </w:rPr>
              <w:t>versus</w:t>
            </w:r>
            <w:r w:rsidR="00110AA5" w:rsidRPr="008A5315">
              <w:rPr>
                <w:sz w:val="20"/>
                <w:szCs w:val="20"/>
              </w:rPr>
              <w:t xml:space="preserve"> Efeitos Fixos</w:t>
            </w:r>
          </w:p>
        </w:tc>
        <w:tc>
          <w:tcPr>
            <w:tcW w:w="701" w:type="pct"/>
            <w:tcBorders>
              <w:top w:val="single" w:sz="4" w:space="0" w:color="auto"/>
              <w:left w:val="nil"/>
              <w:bottom w:val="nil"/>
              <w:right w:val="nil"/>
            </w:tcBorders>
            <w:shd w:val="clear" w:color="auto" w:fill="auto"/>
            <w:noWrap/>
            <w:vAlign w:val="center"/>
            <w:hideMark/>
          </w:tcPr>
          <w:p w14:paraId="4BDD0145" w14:textId="2BC2DE66" w:rsidR="00110AA5" w:rsidRPr="008A5315" w:rsidRDefault="00110AA5" w:rsidP="00805180">
            <w:pPr>
              <w:jc w:val="center"/>
              <w:rPr>
                <w:sz w:val="20"/>
                <w:szCs w:val="20"/>
              </w:rPr>
            </w:pPr>
            <w:proofErr w:type="gramStart"/>
            <w:r w:rsidRPr="008A5315">
              <w:rPr>
                <w:sz w:val="20"/>
                <w:szCs w:val="20"/>
              </w:rPr>
              <w:t>F(</w:t>
            </w:r>
            <w:proofErr w:type="gramEnd"/>
            <w:r w:rsidRPr="008A5315">
              <w:rPr>
                <w:sz w:val="20"/>
                <w:szCs w:val="20"/>
              </w:rPr>
              <w:t>148</w:t>
            </w:r>
            <w:r w:rsidR="005D6070" w:rsidRPr="008A5315">
              <w:rPr>
                <w:sz w:val="20"/>
                <w:szCs w:val="20"/>
              </w:rPr>
              <w:t>1</w:t>
            </w:r>
            <w:r w:rsidRPr="008A5315">
              <w:rPr>
                <w:sz w:val="20"/>
                <w:szCs w:val="20"/>
              </w:rPr>
              <w:t>,3</w:t>
            </w:r>
            <w:r w:rsidR="005D6070" w:rsidRPr="008A5315">
              <w:rPr>
                <w:sz w:val="20"/>
                <w:szCs w:val="20"/>
              </w:rPr>
              <w:t>384</w:t>
            </w:r>
            <w:r w:rsidRPr="008A5315">
              <w:rPr>
                <w:sz w:val="20"/>
                <w:szCs w:val="20"/>
              </w:rPr>
              <w:t>) =    22,</w:t>
            </w:r>
            <w:r w:rsidR="005D6070" w:rsidRPr="008A5315">
              <w:rPr>
                <w:sz w:val="20"/>
                <w:szCs w:val="20"/>
              </w:rPr>
              <w:t>12</w:t>
            </w:r>
          </w:p>
          <w:p w14:paraId="2160D01B" w14:textId="5C9A337A" w:rsidR="00110AA5" w:rsidRPr="008A5315" w:rsidRDefault="00110AA5" w:rsidP="00805180">
            <w:pPr>
              <w:jc w:val="center"/>
              <w:rPr>
                <w:sz w:val="20"/>
                <w:szCs w:val="20"/>
              </w:rPr>
            </w:pPr>
            <w:r w:rsidRPr="008A5315">
              <w:rPr>
                <w:sz w:val="20"/>
                <w:szCs w:val="20"/>
              </w:rPr>
              <w:t>(0,000)</w:t>
            </w:r>
          </w:p>
        </w:tc>
        <w:tc>
          <w:tcPr>
            <w:tcW w:w="411" w:type="pct"/>
            <w:tcBorders>
              <w:top w:val="single" w:sz="4" w:space="0" w:color="auto"/>
              <w:left w:val="nil"/>
              <w:bottom w:val="nil"/>
              <w:right w:val="nil"/>
            </w:tcBorders>
            <w:shd w:val="clear" w:color="auto" w:fill="auto"/>
            <w:noWrap/>
            <w:vAlign w:val="center"/>
            <w:hideMark/>
          </w:tcPr>
          <w:p w14:paraId="1A1C5AAD" w14:textId="77777777" w:rsidR="00110AA5" w:rsidRPr="008A5315" w:rsidRDefault="00110AA5" w:rsidP="00805180">
            <w:pPr>
              <w:jc w:val="center"/>
              <w:rPr>
                <w:sz w:val="20"/>
                <w:szCs w:val="20"/>
              </w:rPr>
            </w:pPr>
            <w:r w:rsidRPr="008A5315">
              <w:rPr>
                <w:sz w:val="20"/>
                <w:szCs w:val="20"/>
              </w:rPr>
              <w:t>Efeitos Fixos</w:t>
            </w:r>
          </w:p>
        </w:tc>
        <w:tc>
          <w:tcPr>
            <w:tcW w:w="89" w:type="pct"/>
            <w:tcBorders>
              <w:top w:val="single" w:sz="4" w:space="0" w:color="auto"/>
              <w:left w:val="nil"/>
              <w:bottom w:val="nil"/>
              <w:right w:val="nil"/>
            </w:tcBorders>
            <w:shd w:val="clear" w:color="auto" w:fill="auto"/>
            <w:noWrap/>
            <w:vAlign w:val="center"/>
            <w:hideMark/>
          </w:tcPr>
          <w:p w14:paraId="4CCF6189" w14:textId="77777777" w:rsidR="00110AA5" w:rsidRPr="008A5315" w:rsidRDefault="00110AA5" w:rsidP="004A347B">
            <w:pPr>
              <w:rPr>
                <w:sz w:val="20"/>
                <w:szCs w:val="20"/>
              </w:rPr>
            </w:pPr>
          </w:p>
        </w:tc>
        <w:tc>
          <w:tcPr>
            <w:tcW w:w="817" w:type="pct"/>
            <w:tcBorders>
              <w:top w:val="single" w:sz="4" w:space="0" w:color="auto"/>
              <w:left w:val="nil"/>
              <w:bottom w:val="nil"/>
              <w:right w:val="nil"/>
            </w:tcBorders>
            <w:shd w:val="clear" w:color="auto" w:fill="auto"/>
            <w:noWrap/>
            <w:vAlign w:val="center"/>
            <w:hideMark/>
          </w:tcPr>
          <w:p w14:paraId="4ADD9192" w14:textId="77777777" w:rsidR="00110AA5" w:rsidRPr="008A5315" w:rsidRDefault="00110AA5" w:rsidP="004A347B">
            <w:pPr>
              <w:rPr>
                <w:sz w:val="20"/>
                <w:szCs w:val="20"/>
              </w:rPr>
            </w:pPr>
          </w:p>
        </w:tc>
        <w:tc>
          <w:tcPr>
            <w:tcW w:w="522" w:type="pct"/>
            <w:tcBorders>
              <w:top w:val="single" w:sz="4" w:space="0" w:color="auto"/>
              <w:left w:val="nil"/>
              <w:bottom w:val="nil"/>
              <w:right w:val="nil"/>
            </w:tcBorders>
            <w:shd w:val="clear" w:color="auto" w:fill="auto"/>
            <w:noWrap/>
            <w:vAlign w:val="center"/>
            <w:hideMark/>
          </w:tcPr>
          <w:p w14:paraId="31266ED9" w14:textId="77777777" w:rsidR="00110AA5" w:rsidRPr="008A5315" w:rsidRDefault="00110AA5" w:rsidP="004A347B">
            <w:pPr>
              <w:rPr>
                <w:sz w:val="20"/>
                <w:szCs w:val="20"/>
              </w:rPr>
            </w:pPr>
          </w:p>
        </w:tc>
        <w:tc>
          <w:tcPr>
            <w:tcW w:w="159" w:type="pct"/>
            <w:tcBorders>
              <w:top w:val="single" w:sz="4" w:space="0" w:color="auto"/>
              <w:left w:val="nil"/>
              <w:bottom w:val="nil"/>
              <w:right w:val="nil"/>
            </w:tcBorders>
            <w:shd w:val="clear" w:color="auto" w:fill="auto"/>
            <w:noWrap/>
            <w:vAlign w:val="center"/>
            <w:hideMark/>
          </w:tcPr>
          <w:p w14:paraId="2A774862" w14:textId="77777777" w:rsidR="00110AA5" w:rsidRPr="008A5315" w:rsidRDefault="00110AA5" w:rsidP="004A347B">
            <w:pPr>
              <w:rPr>
                <w:sz w:val="20"/>
                <w:szCs w:val="20"/>
              </w:rPr>
            </w:pPr>
          </w:p>
        </w:tc>
        <w:tc>
          <w:tcPr>
            <w:tcW w:w="973" w:type="pct"/>
            <w:tcBorders>
              <w:top w:val="single" w:sz="4" w:space="0" w:color="auto"/>
              <w:left w:val="nil"/>
              <w:bottom w:val="nil"/>
              <w:right w:val="nil"/>
            </w:tcBorders>
            <w:shd w:val="clear" w:color="auto" w:fill="auto"/>
            <w:noWrap/>
            <w:vAlign w:val="center"/>
            <w:hideMark/>
          </w:tcPr>
          <w:p w14:paraId="3D20B15E" w14:textId="77777777" w:rsidR="00110AA5" w:rsidRPr="008A5315" w:rsidRDefault="00110AA5" w:rsidP="004A347B">
            <w:pPr>
              <w:rPr>
                <w:sz w:val="20"/>
                <w:szCs w:val="20"/>
              </w:rPr>
            </w:pPr>
          </w:p>
        </w:tc>
        <w:tc>
          <w:tcPr>
            <w:tcW w:w="466" w:type="pct"/>
            <w:tcBorders>
              <w:top w:val="single" w:sz="4" w:space="0" w:color="auto"/>
              <w:left w:val="nil"/>
              <w:bottom w:val="nil"/>
              <w:right w:val="nil"/>
            </w:tcBorders>
            <w:shd w:val="clear" w:color="auto" w:fill="auto"/>
            <w:noWrap/>
            <w:vAlign w:val="center"/>
            <w:hideMark/>
          </w:tcPr>
          <w:p w14:paraId="2A412DDB" w14:textId="77777777" w:rsidR="00110AA5" w:rsidRPr="008A5315" w:rsidRDefault="00110AA5" w:rsidP="004A347B">
            <w:pPr>
              <w:rPr>
                <w:sz w:val="20"/>
                <w:szCs w:val="20"/>
              </w:rPr>
            </w:pPr>
          </w:p>
        </w:tc>
      </w:tr>
      <w:tr w:rsidR="00132476" w:rsidRPr="008A5315" w14:paraId="57A21866" w14:textId="77777777" w:rsidTr="005D6070">
        <w:trPr>
          <w:trHeight w:val="321"/>
        </w:trPr>
        <w:tc>
          <w:tcPr>
            <w:tcW w:w="861" w:type="pct"/>
            <w:tcBorders>
              <w:top w:val="nil"/>
              <w:left w:val="nil"/>
              <w:bottom w:val="nil"/>
              <w:right w:val="nil"/>
            </w:tcBorders>
            <w:shd w:val="clear" w:color="auto" w:fill="auto"/>
            <w:noWrap/>
            <w:vAlign w:val="center"/>
            <w:hideMark/>
          </w:tcPr>
          <w:p w14:paraId="4240C7AF" w14:textId="77777777" w:rsidR="004A347B" w:rsidRPr="008A5315" w:rsidRDefault="004A347B" w:rsidP="004A347B">
            <w:pPr>
              <w:rPr>
                <w:sz w:val="20"/>
                <w:szCs w:val="20"/>
              </w:rPr>
            </w:pPr>
            <w:proofErr w:type="spellStart"/>
            <w:r w:rsidRPr="008A5315">
              <w:rPr>
                <w:i/>
                <w:iCs/>
                <w:sz w:val="20"/>
                <w:szCs w:val="20"/>
              </w:rPr>
              <w:t>ii</w:t>
            </w:r>
            <w:proofErr w:type="spellEnd"/>
            <w:r w:rsidRPr="008A5315">
              <w:rPr>
                <w:i/>
                <w:iCs/>
                <w:sz w:val="20"/>
                <w:szCs w:val="20"/>
              </w:rPr>
              <w:t xml:space="preserve">) </w:t>
            </w:r>
            <w:proofErr w:type="spellStart"/>
            <w:r w:rsidR="00110AA5" w:rsidRPr="008A5315">
              <w:rPr>
                <w:i/>
                <w:iCs/>
                <w:sz w:val="20"/>
                <w:szCs w:val="20"/>
              </w:rPr>
              <w:t>Pooled</w:t>
            </w:r>
            <w:proofErr w:type="spellEnd"/>
            <w:r w:rsidR="00110AA5" w:rsidRPr="008A5315">
              <w:rPr>
                <w:sz w:val="20"/>
                <w:szCs w:val="20"/>
              </w:rPr>
              <w:t xml:space="preserve"> </w:t>
            </w:r>
            <w:r w:rsidR="00110AA5" w:rsidRPr="008A5315">
              <w:rPr>
                <w:i/>
                <w:iCs/>
                <w:sz w:val="20"/>
                <w:szCs w:val="20"/>
              </w:rPr>
              <w:t>versus</w:t>
            </w:r>
            <w:r w:rsidR="00110AA5" w:rsidRPr="008A5315">
              <w:rPr>
                <w:sz w:val="20"/>
                <w:szCs w:val="20"/>
              </w:rPr>
              <w:t xml:space="preserve"> Efeitos </w:t>
            </w:r>
          </w:p>
          <w:p w14:paraId="1B47AA9B" w14:textId="701DCCA5" w:rsidR="00110AA5" w:rsidRPr="008A5315" w:rsidRDefault="004A347B" w:rsidP="004A347B">
            <w:pPr>
              <w:rPr>
                <w:sz w:val="20"/>
                <w:szCs w:val="20"/>
              </w:rPr>
            </w:pPr>
            <w:proofErr w:type="spellStart"/>
            <w:r w:rsidRPr="008A5315">
              <w:rPr>
                <w:i/>
                <w:iCs/>
                <w:sz w:val="20"/>
                <w:szCs w:val="20"/>
              </w:rPr>
              <w:t>iii</w:t>
            </w:r>
            <w:proofErr w:type="spellEnd"/>
            <w:r w:rsidRPr="008A5315">
              <w:rPr>
                <w:i/>
                <w:iCs/>
                <w:sz w:val="20"/>
                <w:szCs w:val="20"/>
              </w:rPr>
              <w:t>)</w:t>
            </w:r>
            <w:r w:rsidRPr="008A5315">
              <w:rPr>
                <w:sz w:val="20"/>
                <w:szCs w:val="20"/>
              </w:rPr>
              <w:t xml:space="preserve"> </w:t>
            </w:r>
            <w:r w:rsidR="00110AA5" w:rsidRPr="008A5315">
              <w:rPr>
                <w:sz w:val="20"/>
                <w:szCs w:val="20"/>
              </w:rPr>
              <w:t>Aleatórios</w:t>
            </w:r>
          </w:p>
        </w:tc>
        <w:tc>
          <w:tcPr>
            <w:tcW w:w="701" w:type="pct"/>
            <w:tcBorders>
              <w:top w:val="nil"/>
              <w:left w:val="nil"/>
              <w:bottom w:val="nil"/>
              <w:right w:val="nil"/>
            </w:tcBorders>
            <w:shd w:val="clear" w:color="auto" w:fill="auto"/>
            <w:noWrap/>
            <w:vAlign w:val="center"/>
            <w:hideMark/>
          </w:tcPr>
          <w:p w14:paraId="2768CB96" w14:textId="77777777" w:rsidR="00110AA5" w:rsidRPr="008A5315" w:rsidRDefault="00110AA5" w:rsidP="004A347B">
            <w:pPr>
              <w:rPr>
                <w:sz w:val="20"/>
                <w:szCs w:val="20"/>
              </w:rPr>
            </w:pPr>
          </w:p>
        </w:tc>
        <w:tc>
          <w:tcPr>
            <w:tcW w:w="411" w:type="pct"/>
            <w:tcBorders>
              <w:top w:val="nil"/>
              <w:left w:val="nil"/>
              <w:bottom w:val="nil"/>
              <w:right w:val="nil"/>
            </w:tcBorders>
            <w:shd w:val="clear" w:color="auto" w:fill="auto"/>
            <w:noWrap/>
            <w:vAlign w:val="center"/>
            <w:hideMark/>
          </w:tcPr>
          <w:p w14:paraId="7A56F3B5" w14:textId="77777777" w:rsidR="00110AA5" w:rsidRPr="008A5315" w:rsidRDefault="00110AA5" w:rsidP="004A347B">
            <w:pPr>
              <w:rPr>
                <w:sz w:val="20"/>
                <w:szCs w:val="20"/>
              </w:rPr>
            </w:pPr>
          </w:p>
        </w:tc>
        <w:tc>
          <w:tcPr>
            <w:tcW w:w="89" w:type="pct"/>
            <w:tcBorders>
              <w:top w:val="nil"/>
              <w:left w:val="nil"/>
              <w:bottom w:val="nil"/>
              <w:right w:val="nil"/>
            </w:tcBorders>
            <w:shd w:val="clear" w:color="auto" w:fill="auto"/>
            <w:noWrap/>
            <w:vAlign w:val="center"/>
            <w:hideMark/>
          </w:tcPr>
          <w:p w14:paraId="74D06C20" w14:textId="77777777" w:rsidR="00110AA5" w:rsidRPr="008A5315" w:rsidRDefault="00110AA5" w:rsidP="004A347B">
            <w:pPr>
              <w:rPr>
                <w:sz w:val="20"/>
                <w:szCs w:val="20"/>
              </w:rPr>
            </w:pPr>
          </w:p>
        </w:tc>
        <w:tc>
          <w:tcPr>
            <w:tcW w:w="817" w:type="pct"/>
            <w:tcBorders>
              <w:top w:val="nil"/>
              <w:left w:val="nil"/>
              <w:bottom w:val="nil"/>
              <w:right w:val="nil"/>
            </w:tcBorders>
            <w:shd w:val="clear" w:color="auto" w:fill="auto"/>
            <w:noWrap/>
            <w:vAlign w:val="center"/>
            <w:hideMark/>
          </w:tcPr>
          <w:p w14:paraId="7F3A2F2A" w14:textId="1BD14D96" w:rsidR="00110AA5" w:rsidRPr="008A5315" w:rsidRDefault="00110AA5" w:rsidP="00805180">
            <w:pPr>
              <w:jc w:val="center"/>
              <w:rPr>
                <w:sz w:val="20"/>
                <w:szCs w:val="20"/>
              </w:rPr>
            </w:pPr>
            <w:r w:rsidRPr="008A5315">
              <w:rPr>
                <w:sz w:val="20"/>
                <w:szCs w:val="20"/>
              </w:rPr>
              <w:t xml:space="preserve">Chi2(01) </w:t>
            </w:r>
            <w:proofErr w:type="gramStart"/>
            <w:r w:rsidRPr="008A5315">
              <w:rPr>
                <w:sz w:val="20"/>
                <w:szCs w:val="20"/>
              </w:rPr>
              <w:t xml:space="preserve">=  </w:t>
            </w:r>
            <w:r w:rsidR="005D6070" w:rsidRPr="008A5315">
              <w:rPr>
                <w:sz w:val="20"/>
                <w:szCs w:val="20"/>
              </w:rPr>
              <w:t>6013</w:t>
            </w:r>
            <w:proofErr w:type="gramEnd"/>
            <w:r w:rsidRPr="008A5315">
              <w:rPr>
                <w:sz w:val="20"/>
                <w:szCs w:val="20"/>
              </w:rPr>
              <w:t>,73</w:t>
            </w:r>
          </w:p>
          <w:p w14:paraId="7AD0EDC0" w14:textId="18CC1CC9" w:rsidR="00110AA5" w:rsidRPr="008A5315" w:rsidRDefault="00110AA5" w:rsidP="00805180">
            <w:pPr>
              <w:jc w:val="center"/>
              <w:rPr>
                <w:sz w:val="20"/>
                <w:szCs w:val="20"/>
              </w:rPr>
            </w:pPr>
            <w:r w:rsidRPr="008A5315">
              <w:rPr>
                <w:sz w:val="20"/>
                <w:szCs w:val="20"/>
              </w:rPr>
              <w:t>(0,000)</w:t>
            </w:r>
          </w:p>
        </w:tc>
        <w:tc>
          <w:tcPr>
            <w:tcW w:w="522" w:type="pct"/>
            <w:tcBorders>
              <w:top w:val="nil"/>
              <w:left w:val="nil"/>
              <w:bottom w:val="nil"/>
              <w:right w:val="nil"/>
            </w:tcBorders>
            <w:shd w:val="clear" w:color="auto" w:fill="auto"/>
            <w:noWrap/>
            <w:vAlign w:val="center"/>
            <w:hideMark/>
          </w:tcPr>
          <w:p w14:paraId="3C3DCEC5" w14:textId="77777777" w:rsidR="00110AA5" w:rsidRPr="008A5315" w:rsidRDefault="00110AA5" w:rsidP="00805180">
            <w:pPr>
              <w:ind w:right="-94"/>
              <w:jc w:val="center"/>
              <w:rPr>
                <w:sz w:val="20"/>
                <w:szCs w:val="20"/>
              </w:rPr>
            </w:pPr>
            <w:r w:rsidRPr="008A5315">
              <w:rPr>
                <w:sz w:val="20"/>
                <w:szCs w:val="20"/>
              </w:rPr>
              <w:t>Efeitos Aleatórios</w:t>
            </w:r>
          </w:p>
        </w:tc>
        <w:tc>
          <w:tcPr>
            <w:tcW w:w="159" w:type="pct"/>
            <w:tcBorders>
              <w:top w:val="nil"/>
              <w:left w:val="nil"/>
              <w:bottom w:val="nil"/>
              <w:right w:val="nil"/>
            </w:tcBorders>
            <w:shd w:val="clear" w:color="auto" w:fill="auto"/>
            <w:noWrap/>
            <w:vAlign w:val="center"/>
            <w:hideMark/>
          </w:tcPr>
          <w:p w14:paraId="2A322453" w14:textId="77777777" w:rsidR="00110AA5" w:rsidRPr="008A5315" w:rsidRDefault="00110AA5" w:rsidP="004A347B">
            <w:pPr>
              <w:rPr>
                <w:sz w:val="20"/>
                <w:szCs w:val="20"/>
              </w:rPr>
            </w:pPr>
          </w:p>
        </w:tc>
        <w:tc>
          <w:tcPr>
            <w:tcW w:w="973" w:type="pct"/>
            <w:tcBorders>
              <w:top w:val="nil"/>
              <w:left w:val="nil"/>
              <w:bottom w:val="nil"/>
              <w:right w:val="nil"/>
            </w:tcBorders>
            <w:shd w:val="clear" w:color="auto" w:fill="auto"/>
            <w:noWrap/>
            <w:vAlign w:val="center"/>
            <w:hideMark/>
          </w:tcPr>
          <w:p w14:paraId="60A845F0" w14:textId="77777777" w:rsidR="00110AA5" w:rsidRPr="008A5315" w:rsidRDefault="00110AA5" w:rsidP="004A347B">
            <w:pPr>
              <w:rPr>
                <w:sz w:val="20"/>
                <w:szCs w:val="20"/>
              </w:rPr>
            </w:pPr>
          </w:p>
        </w:tc>
        <w:tc>
          <w:tcPr>
            <w:tcW w:w="466" w:type="pct"/>
            <w:tcBorders>
              <w:top w:val="nil"/>
              <w:left w:val="nil"/>
              <w:bottom w:val="nil"/>
              <w:right w:val="nil"/>
            </w:tcBorders>
            <w:shd w:val="clear" w:color="auto" w:fill="auto"/>
            <w:noWrap/>
            <w:vAlign w:val="center"/>
            <w:hideMark/>
          </w:tcPr>
          <w:p w14:paraId="328FF476" w14:textId="77777777" w:rsidR="00110AA5" w:rsidRPr="008A5315" w:rsidRDefault="00110AA5" w:rsidP="004A347B">
            <w:pPr>
              <w:rPr>
                <w:sz w:val="20"/>
                <w:szCs w:val="20"/>
              </w:rPr>
            </w:pPr>
          </w:p>
        </w:tc>
      </w:tr>
      <w:tr w:rsidR="00132476" w:rsidRPr="008A5315" w14:paraId="7DF5DACD" w14:textId="77777777" w:rsidTr="005D6070">
        <w:trPr>
          <w:trHeight w:val="321"/>
        </w:trPr>
        <w:tc>
          <w:tcPr>
            <w:tcW w:w="861" w:type="pct"/>
            <w:tcBorders>
              <w:top w:val="nil"/>
              <w:left w:val="nil"/>
              <w:bottom w:val="single" w:sz="4" w:space="0" w:color="auto"/>
              <w:right w:val="nil"/>
            </w:tcBorders>
            <w:shd w:val="clear" w:color="auto" w:fill="auto"/>
            <w:noWrap/>
            <w:vAlign w:val="center"/>
            <w:hideMark/>
          </w:tcPr>
          <w:p w14:paraId="008EF07A" w14:textId="77777777" w:rsidR="00110AA5" w:rsidRPr="008A5315" w:rsidRDefault="00110AA5" w:rsidP="004A347B">
            <w:pPr>
              <w:rPr>
                <w:sz w:val="20"/>
                <w:szCs w:val="20"/>
              </w:rPr>
            </w:pPr>
            <w:r w:rsidRPr="008A5315">
              <w:rPr>
                <w:sz w:val="20"/>
                <w:szCs w:val="20"/>
              </w:rPr>
              <w:t xml:space="preserve">Efeitos Fixos </w:t>
            </w:r>
            <w:r w:rsidRPr="008A5315">
              <w:rPr>
                <w:i/>
                <w:iCs/>
                <w:sz w:val="20"/>
                <w:szCs w:val="20"/>
              </w:rPr>
              <w:t>versus</w:t>
            </w:r>
            <w:r w:rsidRPr="008A5315">
              <w:rPr>
                <w:sz w:val="20"/>
                <w:szCs w:val="20"/>
              </w:rPr>
              <w:t xml:space="preserve"> Efeitos Aleatórios</w:t>
            </w:r>
          </w:p>
        </w:tc>
        <w:tc>
          <w:tcPr>
            <w:tcW w:w="701" w:type="pct"/>
            <w:tcBorders>
              <w:top w:val="nil"/>
              <w:left w:val="nil"/>
              <w:bottom w:val="single" w:sz="4" w:space="0" w:color="auto"/>
              <w:right w:val="nil"/>
            </w:tcBorders>
            <w:shd w:val="clear" w:color="auto" w:fill="auto"/>
            <w:noWrap/>
            <w:vAlign w:val="center"/>
            <w:hideMark/>
          </w:tcPr>
          <w:p w14:paraId="06AC2F9F" w14:textId="77777777" w:rsidR="00110AA5" w:rsidRPr="008A5315" w:rsidRDefault="00110AA5" w:rsidP="004A347B">
            <w:pPr>
              <w:rPr>
                <w:sz w:val="20"/>
                <w:szCs w:val="20"/>
              </w:rPr>
            </w:pPr>
          </w:p>
        </w:tc>
        <w:tc>
          <w:tcPr>
            <w:tcW w:w="411" w:type="pct"/>
            <w:tcBorders>
              <w:top w:val="nil"/>
              <w:left w:val="nil"/>
              <w:bottom w:val="single" w:sz="4" w:space="0" w:color="auto"/>
              <w:right w:val="nil"/>
            </w:tcBorders>
            <w:shd w:val="clear" w:color="auto" w:fill="auto"/>
            <w:noWrap/>
            <w:vAlign w:val="center"/>
            <w:hideMark/>
          </w:tcPr>
          <w:p w14:paraId="16AB9C31" w14:textId="77777777" w:rsidR="00110AA5" w:rsidRPr="008A5315" w:rsidRDefault="00110AA5" w:rsidP="004A347B">
            <w:pPr>
              <w:rPr>
                <w:sz w:val="20"/>
                <w:szCs w:val="20"/>
              </w:rPr>
            </w:pPr>
          </w:p>
        </w:tc>
        <w:tc>
          <w:tcPr>
            <w:tcW w:w="89" w:type="pct"/>
            <w:tcBorders>
              <w:top w:val="nil"/>
              <w:left w:val="nil"/>
              <w:bottom w:val="single" w:sz="4" w:space="0" w:color="auto"/>
              <w:right w:val="nil"/>
            </w:tcBorders>
            <w:shd w:val="clear" w:color="auto" w:fill="auto"/>
            <w:noWrap/>
            <w:vAlign w:val="center"/>
            <w:hideMark/>
          </w:tcPr>
          <w:p w14:paraId="5093AFF8" w14:textId="77777777" w:rsidR="00110AA5" w:rsidRPr="008A5315" w:rsidRDefault="00110AA5" w:rsidP="004A347B">
            <w:pPr>
              <w:rPr>
                <w:sz w:val="20"/>
                <w:szCs w:val="20"/>
              </w:rPr>
            </w:pPr>
          </w:p>
        </w:tc>
        <w:tc>
          <w:tcPr>
            <w:tcW w:w="817" w:type="pct"/>
            <w:tcBorders>
              <w:top w:val="nil"/>
              <w:left w:val="nil"/>
              <w:bottom w:val="single" w:sz="4" w:space="0" w:color="auto"/>
              <w:right w:val="nil"/>
            </w:tcBorders>
            <w:shd w:val="clear" w:color="auto" w:fill="auto"/>
            <w:noWrap/>
            <w:vAlign w:val="center"/>
            <w:hideMark/>
          </w:tcPr>
          <w:p w14:paraId="4CD2AD13" w14:textId="77777777" w:rsidR="00110AA5" w:rsidRPr="008A5315" w:rsidRDefault="00110AA5" w:rsidP="004A347B">
            <w:pPr>
              <w:rPr>
                <w:sz w:val="20"/>
                <w:szCs w:val="20"/>
              </w:rPr>
            </w:pPr>
          </w:p>
        </w:tc>
        <w:tc>
          <w:tcPr>
            <w:tcW w:w="522" w:type="pct"/>
            <w:tcBorders>
              <w:top w:val="nil"/>
              <w:left w:val="nil"/>
              <w:bottom w:val="single" w:sz="4" w:space="0" w:color="auto"/>
              <w:right w:val="nil"/>
            </w:tcBorders>
            <w:shd w:val="clear" w:color="auto" w:fill="auto"/>
            <w:noWrap/>
            <w:vAlign w:val="center"/>
            <w:hideMark/>
          </w:tcPr>
          <w:p w14:paraId="49468A51" w14:textId="77777777" w:rsidR="00110AA5" w:rsidRPr="008A5315" w:rsidRDefault="00110AA5" w:rsidP="004A347B">
            <w:pPr>
              <w:rPr>
                <w:sz w:val="20"/>
                <w:szCs w:val="20"/>
              </w:rPr>
            </w:pPr>
          </w:p>
        </w:tc>
        <w:tc>
          <w:tcPr>
            <w:tcW w:w="159" w:type="pct"/>
            <w:tcBorders>
              <w:top w:val="nil"/>
              <w:left w:val="nil"/>
              <w:bottom w:val="single" w:sz="4" w:space="0" w:color="auto"/>
              <w:right w:val="nil"/>
            </w:tcBorders>
            <w:shd w:val="clear" w:color="auto" w:fill="auto"/>
            <w:noWrap/>
            <w:vAlign w:val="center"/>
            <w:hideMark/>
          </w:tcPr>
          <w:p w14:paraId="32352C27" w14:textId="77777777" w:rsidR="00110AA5" w:rsidRPr="008A5315" w:rsidRDefault="00110AA5" w:rsidP="004A347B">
            <w:pPr>
              <w:rPr>
                <w:sz w:val="20"/>
                <w:szCs w:val="20"/>
              </w:rPr>
            </w:pPr>
          </w:p>
        </w:tc>
        <w:tc>
          <w:tcPr>
            <w:tcW w:w="973" w:type="pct"/>
            <w:tcBorders>
              <w:top w:val="nil"/>
              <w:left w:val="nil"/>
              <w:bottom w:val="single" w:sz="4" w:space="0" w:color="auto"/>
              <w:right w:val="nil"/>
            </w:tcBorders>
            <w:shd w:val="clear" w:color="auto" w:fill="auto"/>
            <w:noWrap/>
            <w:vAlign w:val="center"/>
            <w:hideMark/>
          </w:tcPr>
          <w:p w14:paraId="3C893835" w14:textId="7C4FB5AF" w:rsidR="00805180" w:rsidRPr="008A5315" w:rsidRDefault="00805180" w:rsidP="00805180">
            <w:pPr>
              <w:jc w:val="center"/>
              <w:rPr>
                <w:sz w:val="20"/>
                <w:szCs w:val="20"/>
              </w:rPr>
            </w:pPr>
            <w:r w:rsidRPr="008A5315">
              <w:rPr>
                <w:sz w:val="20"/>
                <w:szCs w:val="20"/>
              </w:rPr>
              <w:t>C</w:t>
            </w:r>
            <w:r w:rsidR="00110AA5" w:rsidRPr="008A5315">
              <w:rPr>
                <w:sz w:val="20"/>
                <w:szCs w:val="20"/>
              </w:rPr>
              <w:t>hi2(16)</w:t>
            </w:r>
            <w:r w:rsidRPr="008A5315">
              <w:rPr>
                <w:sz w:val="20"/>
                <w:szCs w:val="20"/>
              </w:rPr>
              <w:t xml:space="preserve"> </w:t>
            </w:r>
            <w:r w:rsidR="00110AA5" w:rsidRPr="008A5315">
              <w:rPr>
                <w:sz w:val="20"/>
                <w:szCs w:val="20"/>
              </w:rPr>
              <w:t>=</w:t>
            </w:r>
          </w:p>
          <w:p w14:paraId="63E4877E" w14:textId="13BBA5D3" w:rsidR="00110AA5" w:rsidRPr="008A5315" w:rsidRDefault="00110AA5" w:rsidP="00805180">
            <w:pPr>
              <w:jc w:val="center"/>
              <w:rPr>
                <w:sz w:val="20"/>
                <w:szCs w:val="20"/>
              </w:rPr>
            </w:pPr>
            <w:r w:rsidRPr="008A5315">
              <w:rPr>
                <w:sz w:val="20"/>
                <w:szCs w:val="20"/>
              </w:rPr>
              <w:t>5</w:t>
            </w:r>
            <w:r w:rsidR="005D6070" w:rsidRPr="008A5315">
              <w:rPr>
                <w:sz w:val="20"/>
                <w:szCs w:val="20"/>
              </w:rPr>
              <w:t>68</w:t>
            </w:r>
            <w:r w:rsidRPr="008A5315">
              <w:rPr>
                <w:sz w:val="20"/>
                <w:szCs w:val="20"/>
              </w:rPr>
              <w:t>,</w:t>
            </w:r>
            <w:r w:rsidR="005D6070" w:rsidRPr="008A5315">
              <w:rPr>
                <w:sz w:val="20"/>
                <w:szCs w:val="20"/>
              </w:rPr>
              <w:t>9</w:t>
            </w:r>
            <w:r w:rsidRPr="008A5315">
              <w:rPr>
                <w:sz w:val="20"/>
                <w:szCs w:val="20"/>
              </w:rPr>
              <w:t>7</w:t>
            </w:r>
          </w:p>
          <w:p w14:paraId="3CEBAF22" w14:textId="24663FBF" w:rsidR="00110AA5" w:rsidRPr="008A5315" w:rsidRDefault="00110AA5" w:rsidP="00805180">
            <w:pPr>
              <w:jc w:val="center"/>
              <w:rPr>
                <w:sz w:val="20"/>
                <w:szCs w:val="20"/>
              </w:rPr>
            </w:pPr>
            <w:r w:rsidRPr="008A5315">
              <w:rPr>
                <w:sz w:val="20"/>
                <w:szCs w:val="20"/>
              </w:rPr>
              <w:t>(0,000)</w:t>
            </w:r>
          </w:p>
        </w:tc>
        <w:tc>
          <w:tcPr>
            <w:tcW w:w="466" w:type="pct"/>
            <w:tcBorders>
              <w:top w:val="nil"/>
              <w:left w:val="nil"/>
              <w:bottom w:val="single" w:sz="4" w:space="0" w:color="auto"/>
              <w:right w:val="nil"/>
            </w:tcBorders>
            <w:shd w:val="clear" w:color="auto" w:fill="auto"/>
            <w:noWrap/>
            <w:vAlign w:val="center"/>
            <w:hideMark/>
          </w:tcPr>
          <w:p w14:paraId="38AA7276" w14:textId="77777777" w:rsidR="00110AA5" w:rsidRPr="008A5315" w:rsidRDefault="00110AA5" w:rsidP="00805180">
            <w:pPr>
              <w:jc w:val="center"/>
              <w:rPr>
                <w:sz w:val="20"/>
                <w:szCs w:val="20"/>
              </w:rPr>
            </w:pPr>
            <w:r w:rsidRPr="008A5315">
              <w:rPr>
                <w:sz w:val="20"/>
                <w:szCs w:val="20"/>
              </w:rPr>
              <w:t>Efeitos Fixos</w:t>
            </w:r>
          </w:p>
        </w:tc>
      </w:tr>
    </w:tbl>
    <w:p w14:paraId="531F17FB" w14:textId="2E9DD418" w:rsidR="007730B3" w:rsidRPr="008A5315" w:rsidRDefault="007730B3" w:rsidP="007730B3">
      <w:pPr>
        <w:jc w:val="both"/>
        <w:rPr>
          <w:sz w:val="20"/>
          <w:szCs w:val="20"/>
        </w:rPr>
      </w:pPr>
      <w:r w:rsidRPr="008A5315">
        <w:rPr>
          <w:sz w:val="20"/>
          <w:szCs w:val="20"/>
        </w:rPr>
        <w:t xml:space="preserve">Nota: Os valores em parêntesis referem-se aos </w:t>
      </w:r>
      <w:r w:rsidRPr="008A5315">
        <w:rPr>
          <w:i/>
          <w:iCs/>
          <w:sz w:val="20"/>
          <w:szCs w:val="20"/>
        </w:rPr>
        <w:t>p</w:t>
      </w:r>
      <w:r w:rsidRPr="008A5315">
        <w:rPr>
          <w:sz w:val="20"/>
          <w:szCs w:val="20"/>
        </w:rPr>
        <w:t>-valores dos respectivos testes.</w:t>
      </w:r>
      <w:r w:rsidR="00592EF8" w:rsidRPr="008A5315">
        <w:rPr>
          <w:sz w:val="20"/>
          <w:szCs w:val="20"/>
        </w:rPr>
        <w:t xml:space="preserve"> * Coeficiente de Efeitos Fixos = Consistente sob </w:t>
      </w: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0</m:t>
            </m:r>
          </m:sub>
        </m:sSub>
      </m:oMath>
      <w:r w:rsidR="00592EF8" w:rsidRPr="008A5315">
        <w:rPr>
          <w:rFonts w:eastAsiaTheme="minorEastAsia"/>
          <w:sz w:val="20"/>
          <w:szCs w:val="20"/>
        </w:rPr>
        <w:t xml:space="preserve"> 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H</m:t>
            </m:r>
          </m:e>
          <m:sub>
            <m:r>
              <w:rPr>
                <w:rFonts w:ascii="Cambria Math" w:eastAsiaTheme="minorEastAsia" w:hAnsi="Cambria Math"/>
                <w:sz w:val="20"/>
                <w:szCs w:val="20"/>
              </w:rPr>
              <m:t>a</m:t>
            </m:r>
          </m:sub>
        </m:sSub>
      </m:oMath>
      <w:r w:rsidR="00592EF8" w:rsidRPr="008A5315">
        <w:rPr>
          <w:rFonts w:eastAsiaTheme="minorEastAsia"/>
          <w:sz w:val="20"/>
          <w:szCs w:val="20"/>
        </w:rPr>
        <w:t xml:space="preserve">; </w:t>
      </w:r>
      <w:r w:rsidR="00592EF8" w:rsidRPr="008A5315">
        <w:rPr>
          <w:sz w:val="20"/>
          <w:szCs w:val="20"/>
        </w:rPr>
        <w:t xml:space="preserve">Coeficiente de Efeitos Aleatórios = Inconsistente sobre </w:t>
      </w: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a</m:t>
            </m:r>
          </m:sub>
        </m:sSub>
      </m:oMath>
      <w:r w:rsidR="00592EF8" w:rsidRPr="008A5315">
        <w:rPr>
          <w:rFonts w:eastAsiaTheme="minorEastAsia"/>
          <w:sz w:val="20"/>
          <w:szCs w:val="20"/>
        </w:rPr>
        <w:t xml:space="preserve"> e eficiente sob </w:t>
      </w:r>
      <m:oMath>
        <m:sSub>
          <m:sSubPr>
            <m:ctrlPr>
              <w:rPr>
                <w:rFonts w:ascii="Cambria Math" w:eastAsiaTheme="minorEastAsia" w:hAnsi="Cambria Math"/>
                <w:i/>
                <w:sz w:val="20"/>
                <w:szCs w:val="20"/>
              </w:rPr>
            </m:ctrlPr>
          </m:sSubPr>
          <m:e>
            <m:r>
              <w:rPr>
                <w:rFonts w:ascii="Cambria Math" w:eastAsiaTheme="minorEastAsia" w:hAnsi="Cambria Math"/>
                <w:sz w:val="20"/>
                <w:szCs w:val="20"/>
              </w:rPr>
              <m:t>H</m:t>
            </m:r>
          </m:e>
          <m:sub>
            <m:r>
              <w:rPr>
                <w:rFonts w:ascii="Cambria Math" w:eastAsiaTheme="minorEastAsia" w:hAnsi="Cambria Math"/>
                <w:sz w:val="20"/>
                <w:szCs w:val="20"/>
              </w:rPr>
              <m:t>a</m:t>
            </m:r>
          </m:sub>
        </m:sSub>
      </m:oMath>
      <w:r w:rsidR="00592EF8" w:rsidRPr="008A5315">
        <w:rPr>
          <w:rFonts w:eastAsiaTheme="minorEastAsia"/>
          <w:sz w:val="20"/>
          <w:szCs w:val="20"/>
        </w:rPr>
        <w:t>.</w:t>
      </w:r>
    </w:p>
    <w:p w14:paraId="5BD7E4AE" w14:textId="35748BAC" w:rsidR="006E75D0" w:rsidRPr="008A5315" w:rsidRDefault="00694585" w:rsidP="007730B3">
      <w:pPr>
        <w:jc w:val="both"/>
        <w:rPr>
          <w:sz w:val="20"/>
          <w:szCs w:val="20"/>
        </w:rPr>
      </w:pPr>
      <w:r w:rsidRPr="008A5315">
        <w:rPr>
          <w:sz w:val="20"/>
          <w:szCs w:val="20"/>
        </w:rPr>
        <w:t xml:space="preserve">Fonte: Elaborado a partir dos dados da pesquisa. </w:t>
      </w:r>
    </w:p>
    <w:p w14:paraId="046CCAF2" w14:textId="030BA113" w:rsidR="006E75D0" w:rsidRPr="008A5315" w:rsidRDefault="006E75D0" w:rsidP="000C2FDC">
      <w:pPr>
        <w:spacing w:before="240" w:after="240" w:line="360" w:lineRule="auto"/>
        <w:ind w:firstLine="709"/>
        <w:jc w:val="both"/>
      </w:pPr>
      <w:r w:rsidRPr="008A5315">
        <w:t xml:space="preserve">De acordo com o resultado dos testes </w:t>
      </w:r>
      <w:r w:rsidR="00767C74" w:rsidRPr="008A5315">
        <w:t xml:space="preserve">apresentados </w:t>
      </w:r>
      <w:r w:rsidRPr="008A5315">
        <w:t>acima</w:t>
      </w:r>
      <w:r w:rsidR="00767C74" w:rsidRPr="008A5315">
        <w:t>,</w:t>
      </w:r>
      <w:r w:rsidRPr="008A5315">
        <w:t xml:space="preserve"> o modelo com dados em painel é capaz de tratar a heterogeneidade não observada melhor do que</w:t>
      </w:r>
      <w:r w:rsidR="00767C74" w:rsidRPr="008A5315">
        <w:t xml:space="preserve"> o modelo de dados </w:t>
      </w:r>
      <w:r w:rsidR="00767C74" w:rsidRPr="008A5315">
        <w:lastRenderedPageBreak/>
        <w:t>empilhados (</w:t>
      </w:r>
      <w:proofErr w:type="spellStart"/>
      <w:r w:rsidR="00767C74" w:rsidRPr="008A5315">
        <w:rPr>
          <w:i/>
        </w:rPr>
        <w:t>p</w:t>
      </w:r>
      <w:r w:rsidRPr="008A5315">
        <w:rPr>
          <w:i/>
        </w:rPr>
        <w:t>ooled</w:t>
      </w:r>
      <w:proofErr w:type="spellEnd"/>
      <w:r w:rsidRPr="008A5315">
        <w:t>) com uso de Mínimos Quadrados Ordinários (MQO). Sendo assim, desca</w:t>
      </w:r>
      <w:r w:rsidR="00767C74" w:rsidRPr="008A5315">
        <w:t>rtou-se a estimação por meio</w:t>
      </w:r>
      <w:r w:rsidRPr="008A5315">
        <w:t xml:space="preserve"> do modelo </w:t>
      </w:r>
      <w:proofErr w:type="spellStart"/>
      <w:r w:rsidRPr="008A5315">
        <w:rPr>
          <w:i/>
          <w:iCs/>
        </w:rPr>
        <w:t>pooled</w:t>
      </w:r>
      <w:proofErr w:type="spellEnd"/>
      <w:r w:rsidRPr="008A5315">
        <w:t xml:space="preserve">, pois há evidências de heterogeneidade entre as unidades do </w:t>
      </w:r>
      <w:proofErr w:type="spellStart"/>
      <w:r w:rsidRPr="008A5315">
        <w:rPr>
          <w:i/>
          <w:iCs/>
        </w:rPr>
        <w:t>cross-section</w:t>
      </w:r>
      <w:proofErr w:type="spellEnd"/>
      <w:r w:rsidR="00767C74" w:rsidRPr="008A5315">
        <w:t>. Com base no teste</w:t>
      </w:r>
      <w:r w:rsidRPr="008A5315">
        <w:t xml:space="preserve"> de </w:t>
      </w:r>
      <w:proofErr w:type="spellStart"/>
      <w:r w:rsidRPr="008A5315">
        <w:t>Hausman</w:t>
      </w:r>
      <w:proofErr w:type="spellEnd"/>
      <w:r w:rsidR="00767C74" w:rsidRPr="008A5315">
        <w:t>,</w:t>
      </w:r>
      <w:r w:rsidRPr="008A5315">
        <w:t xml:space="preserve"> o modelo de efeitos fixos </w:t>
      </w:r>
      <w:r w:rsidR="00D466D2" w:rsidRPr="008A5315">
        <w:t>seria</w:t>
      </w:r>
      <w:r w:rsidRPr="008A5315">
        <w:t xml:space="preserve"> o mais relevante e significante a ser considerado para estimação. </w:t>
      </w:r>
    </w:p>
    <w:p w14:paraId="3FC052A6" w14:textId="692E591A" w:rsidR="006E75D0" w:rsidRPr="008A5315" w:rsidRDefault="006E75D0" w:rsidP="000C2FDC">
      <w:pPr>
        <w:spacing w:line="360" w:lineRule="auto"/>
        <w:ind w:firstLine="708"/>
        <w:jc w:val="both"/>
      </w:pPr>
      <w:r w:rsidRPr="008A5315">
        <w:t xml:space="preserve">As especificações para os </w:t>
      </w:r>
      <w:bookmarkStart w:id="1" w:name="_GoBack"/>
      <w:bookmarkEnd w:id="1"/>
      <w:r w:rsidRPr="008A5315">
        <w:t>modelos com efeitos fixos e aleatórios são dadas</w:t>
      </w:r>
      <w:r w:rsidR="00767C74" w:rsidRPr="008A5315">
        <w:t xml:space="preserve">, respectivamente, </w:t>
      </w:r>
      <w:r w:rsidRPr="008A5315">
        <w:t>pelas expr</w:t>
      </w:r>
      <w:r w:rsidR="00767C74" w:rsidRPr="008A5315">
        <w:t>essões abaixo.</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4"/>
        <w:gridCol w:w="517"/>
      </w:tblGrid>
      <w:tr w:rsidR="006E75D0" w:rsidRPr="008A5315" w14:paraId="2C60B9B1" w14:textId="77777777" w:rsidTr="001B25F2">
        <w:tc>
          <w:tcPr>
            <w:tcW w:w="4715" w:type="pct"/>
          </w:tcPr>
          <w:p w14:paraId="502F839E" w14:textId="4B60E1AF" w:rsidR="006E75D0" w:rsidRPr="008A5315" w:rsidRDefault="006E75D0" w:rsidP="001F6712">
            <w:pPr>
              <w:spacing w:line="360" w:lineRule="auto"/>
              <w:jc w:val="both"/>
            </w:pPr>
            <m:oMathPara>
              <m:oMath>
                <m:r>
                  <w:rPr>
                    <w:rFonts w:ascii="Cambria Math" w:hAnsi="Cambria Math"/>
                  </w:rPr>
                  <m:t>IFD</m:t>
                </m:r>
                <m:sSub>
                  <m:sSubPr>
                    <m:ctrlPr>
                      <w:rPr>
                        <w:rFonts w:ascii="Cambria Math" w:hAnsi="Cambria Math"/>
                        <w:i/>
                      </w:rPr>
                    </m:ctrlPr>
                  </m:sSubPr>
                  <m:e>
                    <m:r>
                      <w:rPr>
                        <w:rFonts w:ascii="Cambria Math" w:hAnsi="Cambria Math"/>
                      </w:rPr>
                      <m:t>M</m:t>
                    </m:r>
                  </m:e>
                  <m:sub>
                    <m:r>
                      <w:rPr>
                        <w:rFonts w:ascii="Cambria Math" w:hAnsi="Cambria Math"/>
                      </w:rPr>
                      <m:t>it</m:t>
                    </m:r>
                  </m:sub>
                </m:sSub>
                <m:r>
                  <w:rPr>
                    <w:rFonts w:ascii="Cambria Math" w:hAnsi="Cambria Math"/>
                  </w:rPr>
                  <m:t>=(α+</m:t>
                </m:r>
                <m:sSub>
                  <m:sSubPr>
                    <m:ctrlPr>
                      <w:rPr>
                        <w:rFonts w:ascii="Cambria Math" w:hAnsi="Cambria Math"/>
                        <w:i/>
                      </w:rPr>
                    </m:ctrlPr>
                  </m:sSubPr>
                  <m:e>
                    <m: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lnCorru</m:t>
                </m:r>
                <m:sSub>
                  <m:sSubPr>
                    <m:ctrlPr>
                      <w:rPr>
                        <w:rFonts w:ascii="Cambria Math" w:hAnsi="Cambria Math"/>
                        <w:i/>
                      </w:rPr>
                    </m:ctrlPr>
                  </m:sSubPr>
                  <m:e>
                    <m:r>
                      <w:rPr>
                        <w:rFonts w:ascii="Cambria Math" w:hAnsi="Cambria Math"/>
                      </w:rPr>
                      <m:t>p</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lnTGo</m:t>
                </m:r>
                <m:sSub>
                  <m:sSubPr>
                    <m:ctrlPr>
                      <w:rPr>
                        <w:rFonts w:ascii="Cambria Math" w:hAnsi="Cambria Math"/>
                        <w:i/>
                      </w:rPr>
                    </m:ctrlPr>
                  </m:sSubPr>
                  <m:e>
                    <m:r>
                      <w:rPr>
                        <w:rFonts w:ascii="Cambria Math" w:hAnsi="Cambria Math"/>
                      </w:rPr>
                      <m:t>v</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lnProd</m:t>
                </m:r>
                <m:sSub>
                  <m:sSubPr>
                    <m:ctrlPr>
                      <w:rPr>
                        <w:rFonts w:ascii="Cambria Math" w:hAnsi="Cambria Math"/>
                        <w:i/>
                      </w:rPr>
                    </m:ctrlPr>
                  </m:sSubPr>
                  <m:e>
                    <m:r>
                      <w:rPr>
                        <w:rFonts w:ascii="Cambria Math" w:hAnsi="Cambria Math"/>
                      </w:rPr>
                      <m:t>G</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r>
                  <w:rPr>
                    <w:rFonts w:ascii="Cambria Math" w:hAnsi="Cambria Math"/>
                  </w:rPr>
                  <m:t>lnPIBp</m:t>
                </m:r>
                <m:sSub>
                  <m:sSubPr>
                    <m:ctrlPr>
                      <w:rPr>
                        <w:rFonts w:ascii="Cambria Math" w:hAnsi="Cambria Math"/>
                        <w:i/>
                      </w:rPr>
                    </m:ctrlPr>
                  </m:sSubPr>
                  <m:e>
                    <m:r>
                      <w:rPr>
                        <w:rFonts w:ascii="Cambria Math" w:hAnsi="Cambria Math"/>
                      </w:rPr>
                      <m:t>c</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r>
                  <w:rPr>
                    <w:rFonts w:ascii="Cambria Math" w:hAnsi="Cambria Math"/>
                  </w:rPr>
                  <m:t>lnPo</m:t>
                </m:r>
                <m:sSub>
                  <m:sSubPr>
                    <m:ctrlPr>
                      <w:rPr>
                        <w:rFonts w:ascii="Cambria Math" w:hAnsi="Cambria Math"/>
                        <w:i/>
                      </w:rPr>
                    </m:ctrlPr>
                  </m:sSubPr>
                  <m:e>
                    <m:r>
                      <w:rPr>
                        <w:rFonts w:ascii="Cambria Math" w:hAnsi="Cambria Math"/>
                      </w:rPr>
                      <m:t>p</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6</m:t>
                    </m:r>
                  </m:sub>
                </m:sSub>
                <m:r>
                  <w:rPr>
                    <w:rFonts w:ascii="Cambria Math" w:hAnsi="Cambria Math"/>
                  </w:rPr>
                  <m:t>lnPop</m:t>
                </m:r>
                <m:sSub>
                  <m:sSubPr>
                    <m:ctrlPr>
                      <w:rPr>
                        <w:rFonts w:ascii="Cambria Math" w:hAnsi="Cambria Math"/>
                        <w:i/>
                      </w:rPr>
                    </m:ctrlPr>
                  </m:sSubPr>
                  <m:e>
                    <m:r>
                      <w:rPr>
                        <w:rFonts w:ascii="Cambria Math" w:hAnsi="Cambria Math"/>
                      </w:rPr>
                      <m:t>I</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7</m:t>
                    </m:r>
                  </m:sub>
                </m:sSub>
                <m:r>
                  <w:rPr>
                    <w:rFonts w:ascii="Cambria Math" w:hAnsi="Cambria Math"/>
                  </w:rPr>
                  <m:t>Dtemp</m:t>
                </m:r>
                <m:sSub>
                  <m:sSubPr>
                    <m:ctrlPr>
                      <w:rPr>
                        <w:rFonts w:ascii="Cambria Math" w:hAnsi="Cambria Math"/>
                        <w:i/>
                      </w:rPr>
                    </m:ctrlPr>
                  </m:sSubPr>
                  <m:e>
                    <m:r>
                      <w:rPr>
                        <w:rFonts w:ascii="Cambria Math" w:hAnsi="Cambria Math"/>
                      </w:rPr>
                      <m:t>o</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it</m:t>
                    </m:r>
                  </m:sub>
                </m:sSub>
              </m:oMath>
            </m:oMathPara>
          </w:p>
        </w:tc>
        <w:tc>
          <w:tcPr>
            <w:tcW w:w="285" w:type="pct"/>
          </w:tcPr>
          <w:p w14:paraId="49D93205" w14:textId="77777777" w:rsidR="006E75D0" w:rsidRPr="008A5315" w:rsidRDefault="006E75D0" w:rsidP="006E75D0">
            <w:pPr>
              <w:spacing w:line="360" w:lineRule="auto"/>
              <w:jc w:val="both"/>
            </w:pPr>
            <w:r w:rsidRPr="008A5315">
              <w:t>(2)</w:t>
            </w:r>
          </w:p>
        </w:tc>
      </w:tr>
    </w:tbl>
    <w:p w14:paraId="15C086E8" w14:textId="77777777" w:rsidR="006E75D0" w:rsidRPr="008A5315" w:rsidRDefault="006E75D0" w:rsidP="00764217">
      <w:pPr>
        <w:spacing w:line="360" w:lineRule="auto"/>
        <w:jc w:val="both"/>
      </w:pPr>
    </w:p>
    <w:tbl>
      <w:tblPr>
        <w:tblStyle w:val="Tabelacomgrade"/>
        <w:tblW w:w="504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6"/>
        <w:gridCol w:w="521"/>
      </w:tblGrid>
      <w:tr w:rsidR="006E75D0" w:rsidRPr="008A5315" w14:paraId="617CBEC7" w14:textId="77777777" w:rsidTr="001B25F2">
        <w:trPr>
          <w:trHeight w:val="724"/>
        </w:trPr>
        <w:tc>
          <w:tcPr>
            <w:tcW w:w="4715" w:type="pct"/>
          </w:tcPr>
          <w:p w14:paraId="16043053" w14:textId="4049EB51" w:rsidR="006E75D0" w:rsidRPr="008A5315" w:rsidRDefault="006E75D0" w:rsidP="001F6712">
            <w:pPr>
              <w:spacing w:line="360" w:lineRule="auto"/>
              <w:jc w:val="both"/>
            </w:pPr>
            <m:oMathPara>
              <m:oMath>
                <m:r>
                  <w:rPr>
                    <w:rFonts w:ascii="Cambria Math" w:hAnsi="Cambria Math"/>
                  </w:rPr>
                  <m:t>IFD</m:t>
                </m:r>
                <m:sSub>
                  <m:sSubPr>
                    <m:ctrlPr>
                      <w:rPr>
                        <w:rFonts w:ascii="Cambria Math" w:hAnsi="Cambria Math"/>
                        <w:i/>
                      </w:rPr>
                    </m:ctrlPr>
                  </m:sSubPr>
                  <m:e>
                    <m:r>
                      <w:rPr>
                        <w:rFonts w:ascii="Cambria Math" w:hAnsi="Cambria Math"/>
                      </w:rPr>
                      <m:t>M</m:t>
                    </m:r>
                  </m:e>
                  <m:sub>
                    <m:r>
                      <w:rPr>
                        <w:rFonts w:ascii="Cambria Math" w:hAnsi="Cambria Math"/>
                      </w:rPr>
                      <m:t>it</m:t>
                    </m:r>
                  </m:sub>
                </m:sSub>
                <m:r>
                  <w:rPr>
                    <w:rFonts w:ascii="Cambria Math" w:hAnsi="Cambria Math"/>
                  </w:rPr>
                  <m:t>=α+</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lnCorru</m:t>
                </m:r>
                <m:sSub>
                  <m:sSubPr>
                    <m:ctrlPr>
                      <w:rPr>
                        <w:rFonts w:ascii="Cambria Math" w:hAnsi="Cambria Math"/>
                        <w:i/>
                        <w:vertAlign w:val="subscript"/>
                      </w:rPr>
                    </m:ctrlPr>
                  </m:sSubPr>
                  <m:e>
                    <m:r>
                      <w:rPr>
                        <w:rFonts w:ascii="Cambria Math" w:hAnsi="Cambria Math"/>
                      </w:rPr>
                      <m:t>p</m:t>
                    </m:r>
                    <m:ctrlPr>
                      <w:rPr>
                        <w:rFonts w:ascii="Cambria Math" w:hAnsi="Cambria Math"/>
                        <w:i/>
                      </w:rPr>
                    </m:ctrlP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lnTGo</m:t>
                </m:r>
                <m:sSub>
                  <m:sSubPr>
                    <m:ctrlPr>
                      <w:rPr>
                        <w:rFonts w:ascii="Cambria Math" w:hAnsi="Cambria Math"/>
                        <w:i/>
                      </w:rPr>
                    </m:ctrlPr>
                  </m:sSubPr>
                  <m:e>
                    <m:r>
                      <w:rPr>
                        <w:rFonts w:ascii="Cambria Math" w:hAnsi="Cambria Math"/>
                      </w:rPr>
                      <m:t>v</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lnProd</m:t>
                </m:r>
                <m:sSub>
                  <m:sSubPr>
                    <m:ctrlPr>
                      <w:rPr>
                        <w:rFonts w:ascii="Cambria Math" w:hAnsi="Cambria Math"/>
                        <w:i/>
                      </w:rPr>
                    </m:ctrlPr>
                  </m:sSubPr>
                  <m:e>
                    <m:r>
                      <w:rPr>
                        <w:rFonts w:ascii="Cambria Math" w:hAnsi="Cambria Math"/>
                      </w:rPr>
                      <m:t>G</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r>
                  <w:rPr>
                    <w:rFonts w:ascii="Cambria Math" w:hAnsi="Cambria Math"/>
                  </w:rPr>
                  <m:t>lnPIBp</m:t>
                </m:r>
                <m:sSub>
                  <m:sSubPr>
                    <m:ctrlPr>
                      <w:rPr>
                        <w:rFonts w:ascii="Cambria Math" w:hAnsi="Cambria Math"/>
                        <w:i/>
                      </w:rPr>
                    </m:ctrlPr>
                  </m:sSubPr>
                  <m:e>
                    <m:r>
                      <w:rPr>
                        <w:rFonts w:ascii="Cambria Math" w:hAnsi="Cambria Math"/>
                      </w:rPr>
                      <m:t>c</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r>
                  <w:rPr>
                    <w:rFonts w:ascii="Cambria Math" w:hAnsi="Cambria Math"/>
                  </w:rPr>
                  <m:t>lnPo</m:t>
                </m:r>
                <m:sSub>
                  <m:sSubPr>
                    <m:ctrlPr>
                      <w:rPr>
                        <w:rFonts w:ascii="Cambria Math" w:hAnsi="Cambria Math"/>
                        <w:i/>
                      </w:rPr>
                    </m:ctrlPr>
                  </m:sSubPr>
                  <m:e>
                    <m:r>
                      <w:rPr>
                        <w:rFonts w:ascii="Cambria Math" w:hAnsi="Cambria Math"/>
                      </w:rPr>
                      <m:t>p</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6</m:t>
                    </m:r>
                  </m:sub>
                </m:sSub>
                <m:r>
                  <w:rPr>
                    <w:rFonts w:ascii="Cambria Math" w:hAnsi="Cambria Math"/>
                  </w:rPr>
                  <m:t>lnPop</m:t>
                </m:r>
                <m:sSub>
                  <m:sSubPr>
                    <m:ctrlPr>
                      <w:rPr>
                        <w:rFonts w:ascii="Cambria Math" w:hAnsi="Cambria Math"/>
                        <w:i/>
                      </w:rPr>
                    </m:ctrlPr>
                  </m:sSubPr>
                  <m:e>
                    <m:r>
                      <w:rPr>
                        <w:rFonts w:ascii="Cambria Math" w:hAnsi="Cambria Math"/>
                      </w:rPr>
                      <m:t>I</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7</m:t>
                    </m:r>
                  </m:sub>
                </m:sSub>
                <m:r>
                  <w:rPr>
                    <w:rFonts w:ascii="Cambria Math" w:hAnsi="Cambria Math"/>
                  </w:rPr>
                  <m:t>Dtemp</m:t>
                </m:r>
                <m:sSub>
                  <m:sSubPr>
                    <m:ctrlPr>
                      <w:rPr>
                        <w:rFonts w:ascii="Cambria Math" w:hAnsi="Cambria Math"/>
                        <w:i/>
                      </w:rPr>
                    </m:ctrlPr>
                  </m:sSubPr>
                  <m:e>
                    <m:r>
                      <w:rPr>
                        <w:rFonts w:ascii="Cambria Math" w:hAnsi="Cambria Math"/>
                      </w:rPr>
                      <m:t>o</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it</m:t>
                    </m:r>
                  </m:sub>
                </m:sSub>
                <m:r>
                  <w:rPr>
                    <w:rFonts w:ascii="Cambria Math" w:hAnsi="Cambria Math"/>
                  </w:rPr>
                  <m:t>)</m:t>
                </m:r>
              </m:oMath>
            </m:oMathPara>
          </w:p>
        </w:tc>
        <w:tc>
          <w:tcPr>
            <w:tcW w:w="285" w:type="pct"/>
          </w:tcPr>
          <w:p w14:paraId="39BEA2EA" w14:textId="77777777" w:rsidR="006E75D0" w:rsidRPr="008A5315" w:rsidRDefault="006E75D0" w:rsidP="006E75D0">
            <w:pPr>
              <w:spacing w:line="360" w:lineRule="auto"/>
              <w:jc w:val="both"/>
            </w:pPr>
            <w:r w:rsidRPr="008A5315">
              <w:t>(3)</w:t>
            </w:r>
          </w:p>
        </w:tc>
      </w:tr>
    </w:tbl>
    <w:p w14:paraId="09AFB4FC" w14:textId="0B51C7FD" w:rsidR="006E75D0" w:rsidRPr="008A5315" w:rsidRDefault="00767C74" w:rsidP="009E7724">
      <w:pPr>
        <w:spacing w:before="100" w:after="100" w:line="360" w:lineRule="auto"/>
        <w:ind w:firstLine="709"/>
        <w:jc w:val="both"/>
      </w:pPr>
      <w:r w:rsidRPr="008A5315">
        <w:t>Onde</w:t>
      </w:r>
      <w:r w:rsidR="006E75D0" w:rsidRPr="008A5315">
        <w:t xml:space="preserve"> </w:t>
      </w:r>
      <m:oMath>
        <m:sSub>
          <m:sSubPr>
            <m:ctrlPr>
              <w:rPr>
                <w:rFonts w:ascii="Cambria Math" w:hAnsi="Cambria Math"/>
                <w:i/>
              </w:rPr>
            </m:ctrlPr>
          </m:sSubPr>
          <m:e>
            <m:r>
              <w:rPr>
                <w:rFonts w:ascii="Cambria Math" w:hAnsi="Cambria Math"/>
              </w:rPr>
              <m:t>μ</m:t>
            </m:r>
          </m:e>
          <m:sub>
            <m:r>
              <w:rPr>
                <w:rFonts w:ascii="Cambria Math" w:hAnsi="Cambria Math"/>
              </w:rPr>
              <m:t>i</m:t>
            </m:r>
          </m:sub>
        </m:sSub>
      </m:oMath>
      <w:r w:rsidR="006E75D0" w:rsidRPr="008A5315">
        <w:t xml:space="preserve"> é um efeito fixo ou aleatório específico do </w:t>
      </w:r>
      <w:r w:rsidR="00286A88" w:rsidRPr="008A5315">
        <w:t>município</w:t>
      </w:r>
      <w:r w:rsidR="006E75D0" w:rsidRPr="008A5315">
        <w:t>. Por suposição, no modelo de efeitos aleatórios o efeito específico</w:t>
      </w:r>
      <w:r w:rsidR="0086474F" w:rsidRPr="008A5315">
        <w:t xml:space="preserve"> de cada um dos municípios </w:t>
      </w:r>
      <w:r w:rsidR="006E75D0" w:rsidRPr="008A5315">
        <w:t xml:space="preserve">(heterogeneidade não observada) não deve estar correlacionado com as variáveis explicativas. O intercepto e as inclinações dos </w:t>
      </w:r>
      <w:proofErr w:type="spellStart"/>
      <w:r w:rsidR="006E75D0" w:rsidRPr="008A5315">
        <w:t>regressores</w:t>
      </w:r>
      <w:proofErr w:type="spellEnd"/>
      <w:r w:rsidR="006E75D0" w:rsidRPr="008A5315">
        <w:t xml:space="preserve"> são os mesmos entre os </w:t>
      </w:r>
      <w:r w:rsidR="00286A88" w:rsidRPr="008A5315">
        <w:t>municípi</w:t>
      </w:r>
      <w:r w:rsidR="006E75D0" w:rsidRPr="008A5315">
        <w:t xml:space="preserve">os, contudo, </w:t>
      </w:r>
      <w:r w:rsidR="00FF5213" w:rsidRPr="008A5315">
        <w:t>a diferença entre eles se dá</w:t>
      </w:r>
      <w:r w:rsidR="006E75D0" w:rsidRPr="008A5315">
        <w:t xml:space="preserve"> pelo termo de erro específico (</w:t>
      </w:r>
      <m:oMath>
        <m:sSub>
          <m:sSubPr>
            <m:ctrlPr>
              <w:rPr>
                <w:rFonts w:ascii="Cambria Math" w:hAnsi="Cambria Math"/>
                <w:i/>
              </w:rPr>
            </m:ctrlPr>
          </m:sSubPr>
          <m:e>
            <m:r>
              <w:rPr>
                <w:rFonts w:ascii="Cambria Math" w:hAnsi="Cambria Math"/>
              </w:rPr>
              <m:t>μ</m:t>
            </m:r>
          </m:e>
          <m:sub>
            <m:r>
              <w:rPr>
                <w:rFonts w:ascii="Cambria Math" w:hAnsi="Cambria Math"/>
              </w:rPr>
              <m:t>i</m:t>
            </m:r>
          </m:sub>
        </m:sSub>
        <m:r>
          <w:rPr>
            <w:rFonts w:ascii="Cambria Math" w:hAnsi="Cambria Math"/>
          </w:rPr>
          <m:t>)</m:t>
        </m:r>
      </m:oMath>
      <w:r w:rsidR="006E75D0" w:rsidRPr="008A5315">
        <w:t>.</w:t>
      </w:r>
    </w:p>
    <w:p w14:paraId="34BECF1C" w14:textId="1140242E" w:rsidR="006E75D0" w:rsidRPr="008A5315" w:rsidRDefault="006E75D0" w:rsidP="009E7724">
      <w:pPr>
        <w:spacing w:before="100" w:after="100" w:line="360" w:lineRule="auto"/>
        <w:ind w:firstLine="708"/>
        <w:jc w:val="both"/>
      </w:pPr>
      <w:r w:rsidRPr="008A5315">
        <w:t xml:space="preserve">De acordo com </w:t>
      </w:r>
      <w:proofErr w:type="spellStart"/>
      <w:r w:rsidRPr="008A5315">
        <w:t>Drukker</w:t>
      </w:r>
      <w:proofErr w:type="spellEnd"/>
      <w:r w:rsidRPr="008A5315">
        <w:t xml:space="preserve"> (2003)</w:t>
      </w:r>
      <w:r w:rsidR="00E21573" w:rsidRPr="008A5315">
        <w:t>,</w:t>
      </w:r>
      <w:r w:rsidRPr="008A5315">
        <w:t xml:space="preserve"> em modelos de dados em painel linear é preciso identificar a presença de correlação serial, pois estas promovem distorções nos erros padrão tornando-os menos eficientes. Sendo assim, havendo correlação serial nos termos de erros idiossincráticos, o agrupamento no nível do painel produzirá estimati</w:t>
      </w:r>
      <w:r w:rsidR="00F563BD" w:rsidRPr="008A5315">
        <w:t xml:space="preserve">vas mais consistentes dos erros </w:t>
      </w:r>
      <w:r w:rsidRPr="008A5315">
        <w:t>(BAL</w:t>
      </w:r>
      <w:r w:rsidR="00F563BD" w:rsidRPr="008A5315">
        <w:t xml:space="preserve">TAGI, 2001; WOOLDRIDGE, 2010). </w:t>
      </w:r>
      <w:r w:rsidRPr="008A5315">
        <w:t xml:space="preserve">Outro problema que poderá reduzir a eficiência </w:t>
      </w:r>
      <w:r w:rsidR="009F2384" w:rsidRPr="008A5315">
        <w:t xml:space="preserve">do modelo </w:t>
      </w:r>
      <w:r w:rsidRPr="008A5315">
        <w:t xml:space="preserve">é a presença de </w:t>
      </w:r>
      <w:proofErr w:type="spellStart"/>
      <w:r w:rsidRPr="008A5315">
        <w:t>heterocedasticidade</w:t>
      </w:r>
      <w:proofErr w:type="spellEnd"/>
      <w:r w:rsidRPr="008A5315">
        <w:t xml:space="preserve">. </w:t>
      </w:r>
    </w:p>
    <w:p w14:paraId="171C3B6B" w14:textId="5FC0B3CD" w:rsidR="006E75D0" w:rsidRPr="008A5315" w:rsidRDefault="006E75D0" w:rsidP="009E7724">
      <w:pPr>
        <w:spacing w:before="100" w:after="100" w:line="360" w:lineRule="auto"/>
        <w:ind w:firstLine="708"/>
        <w:jc w:val="both"/>
      </w:pPr>
      <w:r w:rsidRPr="008A5315">
        <w:t xml:space="preserve">O teste de </w:t>
      </w:r>
      <w:proofErr w:type="spellStart"/>
      <w:r w:rsidRPr="008A5315">
        <w:t>Wooldridge</w:t>
      </w:r>
      <w:proofErr w:type="spellEnd"/>
      <w:r w:rsidRPr="008A5315">
        <w:t xml:space="preserve"> (</w:t>
      </w:r>
      <w:proofErr w:type="spellStart"/>
      <w:r w:rsidRPr="008A5315">
        <w:t>xtserial</w:t>
      </w:r>
      <w:proofErr w:type="spellEnd"/>
      <w:r w:rsidR="00741B58" w:rsidRPr="008A5315">
        <w:t>)</w:t>
      </w:r>
      <w:r w:rsidR="00741B58" w:rsidRPr="008A5315">
        <w:rPr>
          <w:rStyle w:val="Refdenotaderodap"/>
        </w:rPr>
        <w:footnoteReference w:id="8"/>
      </w:r>
      <w:r w:rsidR="00FF5213" w:rsidRPr="008A5315">
        <w:t xml:space="preserve"> </w:t>
      </w:r>
      <w:r w:rsidRPr="008A5315">
        <w:t xml:space="preserve">rejeitou a hipótese nula (H0) de não correlação serial de primeira ordem e, portanto, o painel apresenta correlação serial. </w:t>
      </w:r>
      <w:r w:rsidR="009F2384" w:rsidRPr="008A5315">
        <w:t>Já o</w:t>
      </w:r>
      <w:r w:rsidRPr="008A5315">
        <w:t xml:space="preserve"> teste de Wald rejeitou a hipótese de variância constante para todos os municípios. Portanto, o modelo é serialmente correlacionado e </w:t>
      </w:r>
      <w:proofErr w:type="spellStart"/>
      <w:r w:rsidRPr="008A5315">
        <w:t>heterocedástico</w:t>
      </w:r>
      <w:proofErr w:type="spellEnd"/>
      <w:r w:rsidRPr="008A5315">
        <w:t>.</w:t>
      </w:r>
    </w:p>
    <w:p w14:paraId="7EBEAD8A" w14:textId="6B8A2A04" w:rsidR="00A72FD2" w:rsidRPr="008A5315" w:rsidRDefault="00A72FD2" w:rsidP="00DC54B7">
      <w:pPr>
        <w:spacing w:line="360" w:lineRule="auto"/>
        <w:ind w:firstLine="708"/>
        <w:jc w:val="both"/>
      </w:pPr>
      <w:r w:rsidRPr="008A5315">
        <w:t xml:space="preserve">Além da </w:t>
      </w:r>
      <w:proofErr w:type="spellStart"/>
      <w:r w:rsidRPr="008A5315">
        <w:t>heterocedasticidade</w:t>
      </w:r>
      <w:proofErr w:type="spellEnd"/>
      <w:r w:rsidRPr="008A5315">
        <w:t xml:space="preserve"> e correlação serial</w:t>
      </w:r>
      <w:r w:rsidR="00472D21" w:rsidRPr="008A5315">
        <w:rPr>
          <w:rStyle w:val="Refdenotaderodap"/>
        </w:rPr>
        <w:footnoteReference w:id="9"/>
      </w:r>
      <w:r w:rsidRPr="008A5315">
        <w:t xml:space="preserve"> é provável </w:t>
      </w:r>
      <w:r w:rsidR="00D67F07" w:rsidRPr="008A5315">
        <w:t>que haja</w:t>
      </w:r>
      <w:r w:rsidRPr="008A5315">
        <w:t xml:space="preserve"> simultaneidade entre as variáveis que mede o nível de desenvolvimento dos municípios</w:t>
      </w:r>
      <w:r w:rsidR="006F0AAB" w:rsidRPr="008A5315">
        <w:t xml:space="preserve"> (</w:t>
      </w:r>
      <m:oMath>
        <m:r>
          <w:rPr>
            <w:rFonts w:ascii="Cambria Math" w:hAnsi="Cambria Math"/>
          </w:rPr>
          <m:t>IFD</m:t>
        </m:r>
        <m:sSub>
          <m:sSubPr>
            <m:ctrlPr>
              <w:rPr>
                <w:rFonts w:ascii="Cambria Math" w:hAnsi="Cambria Math"/>
                <w:i/>
              </w:rPr>
            </m:ctrlPr>
          </m:sSubPr>
          <m:e>
            <m:r>
              <w:rPr>
                <w:rFonts w:ascii="Cambria Math" w:hAnsi="Cambria Math"/>
              </w:rPr>
              <m:t>M</m:t>
            </m:r>
          </m:e>
          <m:sub>
            <m:r>
              <w:rPr>
                <w:rFonts w:ascii="Cambria Math" w:hAnsi="Cambria Math"/>
              </w:rPr>
              <m:t>it</m:t>
            </m:r>
          </m:sub>
        </m:sSub>
      </m:oMath>
      <w:r w:rsidR="006F0AAB" w:rsidRPr="008A5315">
        <w:t xml:space="preserve">) e a variável </w:t>
      </w:r>
      <w:r w:rsidR="006F0AAB" w:rsidRPr="008A5315">
        <w:lastRenderedPageBreak/>
        <w:t>corrupção (</w:t>
      </w:r>
      <m:oMath>
        <m:r>
          <w:rPr>
            <w:rFonts w:ascii="Cambria Math" w:hAnsi="Cambria Math"/>
          </w:rPr>
          <m:t>Corru</m:t>
        </m:r>
        <m:sSub>
          <m:sSubPr>
            <m:ctrlPr>
              <w:rPr>
                <w:rFonts w:ascii="Cambria Math" w:hAnsi="Cambria Math"/>
                <w:i/>
                <w:vertAlign w:val="subscript"/>
              </w:rPr>
            </m:ctrlPr>
          </m:sSubPr>
          <m:e>
            <m:r>
              <w:rPr>
                <w:rFonts w:ascii="Cambria Math" w:hAnsi="Cambria Math"/>
              </w:rPr>
              <m:t>p</m:t>
            </m:r>
            <m:ctrlPr>
              <w:rPr>
                <w:rFonts w:ascii="Cambria Math" w:hAnsi="Cambria Math"/>
                <w:i/>
              </w:rPr>
            </m:ctrlPr>
          </m:e>
          <m:sub>
            <m:r>
              <w:rPr>
                <w:rFonts w:ascii="Cambria Math" w:hAnsi="Cambria Math"/>
              </w:rPr>
              <m:t>it</m:t>
            </m:r>
          </m:sub>
        </m:sSub>
      </m:oMath>
      <w:r w:rsidR="006F0AAB" w:rsidRPr="008A5315">
        <w:t>)</w:t>
      </w:r>
      <w:r w:rsidR="00D67F07" w:rsidRPr="008A5315">
        <w:t>, pois espera-se que o nível de desenvolvimento do município afete o grau de corrupção e vice-versa. Entretanto,</w:t>
      </w:r>
      <w:r w:rsidR="00082CAE" w:rsidRPr="008A5315">
        <w:t xml:space="preserve"> observe que</w:t>
      </w:r>
      <w:r w:rsidR="00D67F07" w:rsidRPr="008A5315">
        <w:t xml:space="preserve"> essa simultaneidade não ocorre de forma contemporânea</w:t>
      </w:r>
      <w:r w:rsidR="00082CAE" w:rsidRPr="008A5315">
        <w:t xml:space="preserve">. O uso de Variáveis Instrumentais (VI) se faz adequado para mitigar os efeitos da endogeneidade </w:t>
      </w:r>
      <w:r w:rsidR="00054C85" w:rsidRPr="008A5315">
        <w:t xml:space="preserve">e tornar os estimadores não </w:t>
      </w:r>
      <w:proofErr w:type="spellStart"/>
      <w:r w:rsidR="00054C85" w:rsidRPr="008A5315">
        <w:t>viesados</w:t>
      </w:r>
      <w:proofErr w:type="spellEnd"/>
      <w:r w:rsidR="00054C85" w:rsidRPr="008A5315">
        <w:t xml:space="preserve"> e consistentes.</w:t>
      </w:r>
    </w:p>
    <w:p w14:paraId="3A90627A" w14:textId="5B0A3D23" w:rsidR="00F73C39" w:rsidRPr="008A5315" w:rsidRDefault="00AC2F2E" w:rsidP="00DC54B7">
      <w:pPr>
        <w:spacing w:line="360" w:lineRule="auto"/>
        <w:ind w:firstLine="708"/>
        <w:jc w:val="both"/>
      </w:pPr>
      <w:r w:rsidRPr="008A5315">
        <w:t>Além disso</w:t>
      </w:r>
      <w:r w:rsidR="0034178C" w:rsidRPr="008A5315">
        <w:t>, p</w:t>
      </w:r>
      <w:r w:rsidR="006E75D0" w:rsidRPr="008A5315">
        <w:t>ara produzir estimativas eficientes é necessário a realização de correções nos erros idiossincráticos</w:t>
      </w:r>
      <w:r w:rsidR="00C76094" w:rsidRPr="008A5315">
        <w:t xml:space="preserve"> de modo </w:t>
      </w:r>
      <w:r w:rsidR="00F6248B" w:rsidRPr="008A5315">
        <w:t>descompor</w:t>
      </w:r>
      <w:r w:rsidR="003046D1" w:rsidRPr="008A5315">
        <w:t xml:space="preserve"> a </w:t>
      </w:r>
      <w:proofErr w:type="spellStart"/>
      <w:r w:rsidR="003046D1" w:rsidRPr="008A5315">
        <w:t>heterocedasticidade</w:t>
      </w:r>
      <w:proofErr w:type="spellEnd"/>
      <w:r w:rsidR="003046D1" w:rsidRPr="008A5315">
        <w:t xml:space="preserve"> e </w:t>
      </w:r>
      <w:r w:rsidR="006E75D0" w:rsidRPr="008A5315">
        <w:t>autocorrela</w:t>
      </w:r>
      <w:r w:rsidR="003046D1" w:rsidRPr="008A5315">
        <w:t>ç</w:t>
      </w:r>
      <w:r w:rsidR="006E75D0" w:rsidRPr="008A5315">
        <w:t>ão</w:t>
      </w:r>
      <w:r w:rsidR="003046D1" w:rsidRPr="008A5315">
        <w:t>.</w:t>
      </w:r>
      <w:r w:rsidR="00046E4B" w:rsidRPr="008A5315">
        <w:t xml:space="preserve"> Os dois primeiros parágrafos da seção seguinte esclarece</w:t>
      </w:r>
      <w:r w:rsidR="00DB78C1" w:rsidRPr="008A5315">
        <w:t>m</w:t>
      </w:r>
      <w:r w:rsidR="00046E4B" w:rsidRPr="008A5315">
        <w:t xml:space="preserve"> esse ponto. </w:t>
      </w:r>
    </w:p>
    <w:p w14:paraId="501EC4ED" w14:textId="77777777" w:rsidR="00FD5B32" w:rsidRPr="008A5315" w:rsidRDefault="00FD5B32" w:rsidP="00973E6E">
      <w:pPr>
        <w:pStyle w:val="PargrafodaLista"/>
        <w:numPr>
          <w:ilvl w:val="0"/>
          <w:numId w:val="5"/>
        </w:numPr>
        <w:spacing w:before="240" w:after="240" w:line="360" w:lineRule="auto"/>
        <w:ind w:left="357" w:hanging="357"/>
        <w:jc w:val="both"/>
        <w:outlineLvl w:val="0"/>
        <w:rPr>
          <w:rFonts w:ascii="Times New Roman" w:hAnsi="Times New Roman" w:cs="Times New Roman"/>
          <w:b/>
          <w:sz w:val="24"/>
        </w:rPr>
      </w:pPr>
      <w:r w:rsidRPr="008A5315">
        <w:rPr>
          <w:rFonts w:ascii="Times New Roman" w:hAnsi="Times New Roman" w:cs="Times New Roman"/>
          <w:b/>
          <w:sz w:val="24"/>
        </w:rPr>
        <w:t>EVIDÊNCIAS PRODUZIDAS</w:t>
      </w:r>
    </w:p>
    <w:p w14:paraId="77DA01B8" w14:textId="77777777" w:rsidR="00151BBF" w:rsidRPr="008A5315" w:rsidRDefault="002D076C" w:rsidP="00973E6E">
      <w:pPr>
        <w:spacing w:line="360" w:lineRule="auto"/>
        <w:ind w:firstLine="708"/>
        <w:jc w:val="both"/>
      </w:pPr>
      <w:r w:rsidRPr="008A5315">
        <w:t>A Tabela 3</w:t>
      </w:r>
      <w:r w:rsidR="00764217" w:rsidRPr="008A5315">
        <w:t xml:space="preserve"> apres</w:t>
      </w:r>
      <w:r w:rsidR="00BB5E0D" w:rsidRPr="008A5315">
        <w:t xml:space="preserve">enta os resultados estimados </w:t>
      </w:r>
      <w:r w:rsidR="00EA1FBA" w:rsidRPr="008A5315">
        <w:t xml:space="preserve">para o indicador de pobreza IFDM  </w:t>
      </w:r>
      <w:r w:rsidR="00CA1578" w:rsidRPr="008A5315">
        <w:t>a partir do modelo de</w:t>
      </w:r>
      <w:r w:rsidR="00242AEE" w:rsidRPr="008A5315">
        <w:t xml:space="preserve"> </w:t>
      </w:r>
      <w:r w:rsidR="003D7A44" w:rsidRPr="008A5315">
        <w:t>painel com efeito fixo (EF)</w:t>
      </w:r>
      <w:r w:rsidR="0025597A" w:rsidRPr="008A5315">
        <w:t xml:space="preserve"> </w:t>
      </w:r>
      <w:r w:rsidR="00FC4545" w:rsidRPr="008A5315">
        <w:t>e</w:t>
      </w:r>
      <w:r w:rsidR="0025597A" w:rsidRPr="008A5315">
        <w:t xml:space="preserve"> erros</w:t>
      </w:r>
      <w:r w:rsidR="00B7386F" w:rsidRPr="008A5315">
        <w:t>-padrão</w:t>
      </w:r>
      <w:r w:rsidR="00FC4545" w:rsidRPr="008A5315">
        <w:t xml:space="preserve"> robustos</w:t>
      </w:r>
      <w:r w:rsidR="00B7386F" w:rsidRPr="008A5315">
        <w:t xml:space="preserve"> </w:t>
      </w:r>
      <w:proofErr w:type="spellStart"/>
      <w:r w:rsidR="00B7386F" w:rsidRPr="008A5315">
        <w:t>clusterizados</w:t>
      </w:r>
      <w:proofErr w:type="spellEnd"/>
      <w:r w:rsidR="00764217" w:rsidRPr="008A5315">
        <w:t xml:space="preserve">, </w:t>
      </w:r>
      <w:r w:rsidR="00FC4545" w:rsidRPr="008A5315">
        <w:t>efeitos fixos com erros</w:t>
      </w:r>
      <w:r w:rsidR="00B7386F" w:rsidRPr="008A5315">
        <w:t>-</w:t>
      </w:r>
      <w:r w:rsidR="00FC4545" w:rsidRPr="008A5315">
        <w:t xml:space="preserve">padrão </w:t>
      </w:r>
      <w:proofErr w:type="spellStart"/>
      <w:r w:rsidR="00FC4545" w:rsidRPr="008A5315">
        <w:t>Driscoll-Kraay</w:t>
      </w:r>
      <w:proofErr w:type="spellEnd"/>
      <w:r w:rsidR="00FC4545" w:rsidRPr="008A5315">
        <w:t xml:space="preserve"> (</w:t>
      </w:r>
      <w:r w:rsidR="003D7A44" w:rsidRPr="008A5315">
        <w:t>XTSCC_FE</w:t>
      </w:r>
      <w:r w:rsidR="00FC4545" w:rsidRPr="008A5315">
        <w:t>)</w:t>
      </w:r>
      <w:r w:rsidR="00942174" w:rsidRPr="008A5315">
        <w:t xml:space="preserve"> </w:t>
      </w:r>
      <w:r w:rsidR="00185CBB" w:rsidRPr="008A5315">
        <w:t>conforme</w:t>
      </w:r>
      <w:r w:rsidR="00942174" w:rsidRPr="008A5315">
        <w:t xml:space="preserve"> </w:t>
      </w:r>
      <w:proofErr w:type="spellStart"/>
      <w:r w:rsidR="00942174" w:rsidRPr="008A5315">
        <w:t>Driscoll</w:t>
      </w:r>
      <w:proofErr w:type="spellEnd"/>
      <w:r w:rsidR="00942174" w:rsidRPr="008A5315">
        <w:t xml:space="preserve"> e </w:t>
      </w:r>
      <w:proofErr w:type="spellStart"/>
      <w:r w:rsidR="00942174" w:rsidRPr="008A5315">
        <w:t>Kraay</w:t>
      </w:r>
      <w:proofErr w:type="spellEnd"/>
      <w:r w:rsidR="00942174" w:rsidRPr="008A5315">
        <w:t xml:space="preserve"> (1998)</w:t>
      </w:r>
      <w:r w:rsidR="00764217" w:rsidRPr="008A5315">
        <w:t xml:space="preserve">, </w:t>
      </w:r>
      <w:r w:rsidR="00242AEE" w:rsidRPr="008A5315">
        <w:t xml:space="preserve">painel com </w:t>
      </w:r>
      <w:r w:rsidR="00764217" w:rsidRPr="008A5315">
        <w:t>efeito aleatório</w:t>
      </w:r>
      <w:r w:rsidR="00242AEE" w:rsidRPr="008A5315">
        <w:t xml:space="preserve"> (EA)</w:t>
      </w:r>
      <w:r w:rsidR="00185CBB" w:rsidRPr="008A5315">
        <w:t xml:space="preserve"> e erros</w:t>
      </w:r>
      <w:r w:rsidR="00B7386F" w:rsidRPr="008A5315">
        <w:t>-padrão</w:t>
      </w:r>
      <w:r w:rsidR="00185CBB" w:rsidRPr="008A5315">
        <w:t xml:space="preserve"> robustos</w:t>
      </w:r>
      <w:r w:rsidR="00B7386F" w:rsidRPr="008A5315">
        <w:t xml:space="preserve"> </w:t>
      </w:r>
      <w:proofErr w:type="spellStart"/>
      <w:r w:rsidR="00B7386F" w:rsidRPr="008A5315">
        <w:t>clusterizados</w:t>
      </w:r>
      <w:proofErr w:type="spellEnd"/>
      <w:r w:rsidR="00185CBB" w:rsidRPr="008A5315">
        <w:t xml:space="preserve">, </w:t>
      </w:r>
      <w:r w:rsidR="00764217" w:rsidRPr="008A5315">
        <w:t xml:space="preserve"> </w:t>
      </w:r>
      <w:r w:rsidR="00242AEE" w:rsidRPr="008A5315">
        <w:t xml:space="preserve">painel com </w:t>
      </w:r>
      <w:r w:rsidR="00EA1FBA" w:rsidRPr="008A5315">
        <w:t>estimação por mínimos quadrados generalizados</w:t>
      </w:r>
      <w:r w:rsidR="0051574D" w:rsidRPr="008A5315">
        <w:rPr>
          <w:bCs/>
        </w:rPr>
        <w:t xml:space="preserve"> </w:t>
      </w:r>
      <w:r w:rsidR="00EA1FBA" w:rsidRPr="008A5315">
        <w:rPr>
          <w:bCs/>
        </w:rPr>
        <w:t>(</w:t>
      </w:r>
      <w:r w:rsidR="00517B37" w:rsidRPr="008A5315">
        <w:rPr>
          <w:bCs/>
        </w:rPr>
        <w:t>XTGLS</w:t>
      </w:r>
      <w:r w:rsidR="00EA1FBA" w:rsidRPr="008A5315">
        <w:rPr>
          <w:bCs/>
        </w:rPr>
        <w:t>)</w:t>
      </w:r>
      <w:r w:rsidR="0099122F" w:rsidRPr="008A5315">
        <w:rPr>
          <w:bCs/>
        </w:rPr>
        <w:t xml:space="preserve"> </w:t>
      </w:r>
      <w:r w:rsidR="0099122F" w:rsidRPr="008A5315">
        <w:t xml:space="preserve">e, por fim, </w:t>
      </w:r>
      <w:r w:rsidR="00D67CD3" w:rsidRPr="008A5315">
        <w:t xml:space="preserve">painel </w:t>
      </w:r>
      <w:r w:rsidR="0099122F" w:rsidRPr="008A5315">
        <w:t>com uso de variáveis instrumentais (</w:t>
      </w:r>
      <w:r w:rsidR="00875FDD" w:rsidRPr="008A5315">
        <w:t xml:space="preserve">XTIVREG_RE) </w:t>
      </w:r>
      <w:r w:rsidR="00D67CD3" w:rsidRPr="008A5315">
        <w:t>na presença</w:t>
      </w:r>
      <w:r w:rsidR="00875FDD" w:rsidRPr="008A5315">
        <w:t xml:space="preserve"> de </w:t>
      </w:r>
      <w:proofErr w:type="spellStart"/>
      <w:r w:rsidR="00D67CD3" w:rsidRPr="008A5315">
        <w:t>regressores</w:t>
      </w:r>
      <w:proofErr w:type="spellEnd"/>
      <w:r w:rsidR="00875FDD" w:rsidRPr="008A5315">
        <w:t xml:space="preserve"> endógen</w:t>
      </w:r>
      <w:r w:rsidR="00D67CD3" w:rsidRPr="008A5315">
        <w:t>o</w:t>
      </w:r>
      <w:r w:rsidR="00875FDD" w:rsidRPr="008A5315">
        <w:t>s</w:t>
      </w:r>
      <w:r w:rsidR="00764217" w:rsidRPr="008A5315">
        <w:t>.</w:t>
      </w:r>
    </w:p>
    <w:p w14:paraId="74EBDF7C" w14:textId="0A5C9A56" w:rsidR="00CA1578" w:rsidRPr="008A5315" w:rsidRDefault="00224137" w:rsidP="00973E6E">
      <w:pPr>
        <w:spacing w:line="360" w:lineRule="auto"/>
        <w:ind w:firstLine="708"/>
        <w:jc w:val="both"/>
      </w:pPr>
      <w:r w:rsidRPr="008A5315">
        <w:t xml:space="preserve">O uso destes estimadores tem como objetivo contornar prováveis problemas </w:t>
      </w:r>
      <w:r w:rsidR="00973E6E" w:rsidRPr="008A5315">
        <w:t>provocados</w:t>
      </w:r>
      <w:r w:rsidRPr="008A5315">
        <w:t xml:space="preserve"> </w:t>
      </w:r>
      <w:r w:rsidR="00973E6E" w:rsidRPr="008A5315">
        <w:t>por</w:t>
      </w:r>
      <w:r w:rsidRPr="008A5315">
        <w:t xml:space="preserve"> variáveis omitida</w:t>
      </w:r>
      <w:r w:rsidR="00151BBF" w:rsidRPr="008A5315">
        <w:t>s</w:t>
      </w:r>
      <w:r w:rsidR="00973E6E" w:rsidRPr="008A5315">
        <w:t xml:space="preserve"> e que estão</w:t>
      </w:r>
      <w:r w:rsidRPr="008A5315">
        <w:t xml:space="preserve"> associado</w:t>
      </w:r>
      <w:r w:rsidR="00973E6E" w:rsidRPr="008A5315">
        <w:t>s</w:t>
      </w:r>
      <w:r w:rsidRPr="008A5315">
        <w:t xml:space="preserve"> a heterogeneidade não observada, heterogeneidade individual e efeitos não observados</w:t>
      </w:r>
      <w:r w:rsidR="00973E6E" w:rsidRPr="008A5315">
        <w:t xml:space="preserve">. O estimador proposto por </w:t>
      </w:r>
      <w:proofErr w:type="spellStart"/>
      <w:r w:rsidR="00973E6E" w:rsidRPr="008A5315">
        <w:t>Driscoll</w:t>
      </w:r>
      <w:proofErr w:type="spellEnd"/>
      <w:r w:rsidR="00973E6E" w:rsidRPr="008A5315">
        <w:t xml:space="preserve"> e </w:t>
      </w:r>
      <w:proofErr w:type="spellStart"/>
      <w:r w:rsidR="00973E6E" w:rsidRPr="008A5315">
        <w:t>Kraay</w:t>
      </w:r>
      <w:proofErr w:type="spellEnd"/>
      <w:r w:rsidR="00973E6E" w:rsidRPr="008A5315">
        <w:t xml:space="preserve"> (1998) utiliza uma matriz de covariância não paramétrica que produz erros consistentes a presença de </w:t>
      </w:r>
      <w:proofErr w:type="spellStart"/>
      <w:r w:rsidR="00973E6E" w:rsidRPr="008A5315">
        <w:t>heterocedasticidade</w:t>
      </w:r>
      <w:proofErr w:type="spellEnd"/>
      <w:r w:rsidR="00973E6E" w:rsidRPr="008A5315">
        <w:t xml:space="preserve"> e </w:t>
      </w:r>
      <w:r w:rsidR="00F45090" w:rsidRPr="008A5315">
        <w:t>são</w:t>
      </w:r>
      <w:r w:rsidR="00973E6E" w:rsidRPr="008A5315">
        <w:t xml:space="preserve"> robusto</w:t>
      </w:r>
      <w:r w:rsidR="00F45090" w:rsidRPr="008A5315">
        <w:t>s</w:t>
      </w:r>
      <w:r w:rsidR="00973E6E" w:rsidRPr="008A5315">
        <w:t xml:space="preserve"> a formas gerais de dependência espacial e temporal.</w:t>
      </w:r>
      <w:r w:rsidR="00C36DBB" w:rsidRPr="008A5315">
        <w:t xml:space="preserve"> </w:t>
      </w:r>
      <w:r w:rsidR="00F45090" w:rsidRPr="008A5315">
        <w:t>Com relação ao</w:t>
      </w:r>
      <w:r w:rsidR="00C36DBB" w:rsidRPr="008A5315">
        <w:t xml:space="preserve"> estimador de mínimos quadrados generalizados factíveis</w:t>
      </w:r>
      <w:r w:rsidR="00F45090" w:rsidRPr="008A5315">
        <w:t>, este</w:t>
      </w:r>
      <w:r w:rsidR="00C36DBB" w:rsidRPr="008A5315">
        <w:t xml:space="preserve"> permite a estimação dos parâmetros na presença de autocorrelação de ordem 1 (AR1)</w:t>
      </w:r>
      <w:r w:rsidR="00973E6E" w:rsidRPr="008A5315">
        <w:t xml:space="preserve"> </w:t>
      </w:r>
      <w:r w:rsidR="00C36DBB" w:rsidRPr="008A5315">
        <w:t>dentro do painel, correlação ent</w:t>
      </w:r>
      <w:r w:rsidR="00534E6C" w:rsidRPr="008A5315">
        <w:t>r</w:t>
      </w:r>
      <w:r w:rsidR="00C36DBB" w:rsidRPr="008A5315">
        <w:t xml:space="preserve">e os </w:t>
      </w:r>
      <w:proofErr w:type="spellStart"/>
      <w:r w:rsidR="00C36DBB" w:rsidRPr="008A5315">
        <w:rPr>
          <w:i/>
          <w:iCs/>
        </w:rPr>
        <w:t>cross-sections</w:t>
      </w:r>
      <w:proofErr w:type="spellEnd"/>
      <w:r w:rsidR="00C36DBB" w:rsidRPr="008A5315">
        <w:t xml:space="preserve"> ou cortes transversais e </w:t>
      </w:r>
      <w:proofErr w:type="spellStart"/>
      <w:r w:rsidR="00C36DBB" w:rsidRPr="008A5315">
        <w:t>heterocedasticidade</w:t>
      </w:r>
      <w:proofErr w:type="spellEnd"/>
      <w:r w:rsidR="00C36DBB" w:rsidRPr="008A5315">
        <w:t>.</w:t>
      </w:r>
      <w:r w:rsidR="00DD3964" w:rsidRPr="008A5315">
        <w:t xml:space="preserve"> </w:t>
      </w:r>
      <w:r w:rsidR="00175901" w:rsidRPr="008A5315">
        <w:t>O estimador de variáveis instrumenta</w:t>
      </w:r>
      <w:r w:rsidR="00151BBF" w:rsidRPr="008A5315">
        <w:t>is</w:t>
      </w:r>
      <w:r w:rsidR="00175901" w:rsidRPr="008A5315">
        <w:t xml:space="preserve"> produz estimativas consistentes e mais eficiente de acordo com </w:t>
      </w:r>
      <w:proofErr w:type="spellStart"/>
      <w:r w:rsidR="00175901" w:rsidRPr="008A5315">
        <w:t>Baltagi</w:t>
      </w:r>
      <w:proofErr w:type="spellEnd"/>
      <w:r w:rsidR="00175901" w:rsidRPr="008A5315">
        <w:t xml:space="preserve"> e Li (1992).</w:t>
      </w:r>
    </w:p>
    <w:p w14:paraId="4775936F" w14:textId="33846DAD" w:rsidR="00D7271E" w:rsidRPr="008A5315" w:rsidRDefault="0071553F" w:rsidP="001A60C5">
      <w:pPr>
        <w:pStyle w:val="NormalWeb"/>
        <w:spacing w:line="360" w:lineRule="auto"/>
        <w:ind w:firstLine="708"/>
        <w:jc w:val="both"/>
      </w:pPr>
      <w:r w:rsidRPr="008A5315">
        <w:t>Sendo assim</w:t>
      </w:r>
      <w:r w:rsidR="00BB5E0D" w:rsidRPr="008A5315">
        <w:t xml:space="preserve">, dentre os </w:t>
      </w:r>
      <w:r w:rsidR="0032205C" w:rsidRPr="008A5315">
        <w:t>cinco</w:t>
      </w:r>
      <w:r w:rsidR="00BB5E0D" w:rsidRPr="008A5315">
        <w:t xml:space="preserve"> modelos estimados</w:t>
      </w:r>
      <w:r w:rsidR="00810458" w:rsidRPr="008A5315">
        <w:t>,</w:t>
      </w:r>
      <w:r w:rsidR="00BB5E0D" w:rsidRPr="008A5315">
        <w:t xml:space="preserve"> optou-se pelo </w:t>
      </w:r>
      <w:r w:rsidR="0032205C" w:rsidRPr="008A5315">
        <w:t>estimador de variável instrumenta</w:t>
      </w:r>
      <w:r w:rsidR="001A60C5" w:rsidRPr="008A5315">
        <w:t>l</w:t>
      </w:r>
      <w:r w:rsidR="0032205C" w:rsidRPr="008A5315">
        <w:t xml:space="preserve"> por ser</w:t>
      </w:r>
      <w:r w:rsidR="001C6AE0" w:rsidRPr="008A5315">
        <w:t xml:space="preserve"> mais indicado na presença de endogeneidade</w:t>
      </w:r>
      <w:r w:rsidR="001A60C5" w:rsidRPr="008A5315">
        <w:t xml:space="preserve"> (simultaneidade).  Neste caso, a estimação considerou o estimador de componentes de erro em 2-estágios, conforme </w:t>
      </w:r>
      <w:proofErr w:type="spellStart"/>
      <w:r w:rsidR="001A60C5" w:rsidRPr="008A5315">
        <w:t>Baltagi</w:t>
      </w:r>
      <w:proofErr w:type="spellEnd"/>
      <w:r w:rsidR="001A60C5" w:rsidRPr="008A5315">
        <w:t xml:space="preserve"> e Li (1992), por ser mais eficiente do que a aplicação de mínimos quadrados generalizados em 2-estágios (G2SLS). </w:t>
      </w:r>
      <w:r w:rsidR="0032205C" w:rsidRPr="008A5315">
        <w:t>Como instrumento</w:t>
      </w:r>
      <w:r w:rsidR="00E126A8" w:rsidRPr="008A5315">
        <w:t>,</w:t>
      </w:r>
      <w:r w:rsidR="0032205C" w:rsidRPr="008A5315">
        <w:t xml:space="preserve"> </w:t>
      </w:r>
      <w:r w:rsidR="001A60C5" w:rsidRPr="008A5315">
        <w:t xml:space="preserve">foram </w:t>
      </w:r>
      <w:r w:rsidR="0032205C" w:rsidRPr="008A5315">
        <w:t>utiliz</w:t>
      </w:r>
      <w:r w:rsidR="001A60C5" w:rsidRPr="008A5315">
        <w:t>ados</w:t>
      </w:r>
      <w:r w:rsidR="0032205C" w:rsidRPr="008A5315">
        <w:t xml:space="preserve"> </w:t>
      </w:r>
      <w:r w:rsidR="00641982" w:rsidRPr="007049AA">
        <w:rPr>
          <w:highlight w:val="green"/>
        </w:rPr>
        <w:t xml:space="preserve">primeira </w:t>
      </w:r>
      <w:r w:rsidR="00641982">
        <w:rPr>
          <w:highlight w:val="green"/>
        </w:rPr>
        <w:t xml:space="preserve">defasagem da variável de </w:t>
      </w:r>
      <w:r w:rsidR="00641982">
        <w:rPr>
          <w:highlight w:val="green"/>
        </w:rPr>
        <w:lastRenderedPageBreak/>
        <w:t xml:space="preserve">corrupção, a segunda </w:t>
      </w:r>
      <w:r w:rsidR="00641982" w:rsidRPr="004D6D11">
        <w:rPr>
          <w:highlight w:val="green"/>
        </w:rPr>
        <w:t xml:space="preserve">defasagem do </w:t>
      </w:r>
      <w:r w:rsidR="00641982" w:rsidRPr="00B05919">
        <w:rPr>
          <w:highlight w:val="green"/>
        </w:rPr>
        <w:t xml:space="preserve">indicador de pobreza municipal, assim como, as demais variáveis explicativas, consideradas exógenas, e </w:t>
      </w:r>
      <w:proofErr w:type="spellStart"/>
      <w:r w:rsidR="00641982" w:rsidRPr="0056717F">
        <w:rPr>
          <w:i/>
          <w:iCs/>
          <w:highlight w:val="green"/>
        </w:rPr>
        <w:t>dummies</w:t>
      </w:r>
      <w:proofErr w:type="spellEnd"/>
      <w:r w:rsidR="00641982" w:rsidRPr="00B05919">
        <w:rPr>
          <w:highlight w:val="green"/>
        </w:rPr>
        <w:t xml:space="preserve"> para as regiões brasileiras (</w:t>
      </w:r>
      <w:r w:rsidR="00641982" w:rsidRPr="00F32857">
        <w:rPr>
          <w:highlight w:val="green"/>
        </w:rPr>
        <w:t>Norte</w:t>
      </w:r>
      <w:r w:rsidR="00641982" w:rsidRPr="00B05919">
        <w:rPr>
          <w:highlight w:val="green"/>
        </w:rPr>
        <w:t xml:space="preserve">, Nordeste, Sudeste e Sul). </w:t>
      </w:r>
      <w:r w:rsidR="00641982">
        <w:rPr>
          <w:highlight w:val="green"/>
        </w:rPr>
        <w:t xml:space="preserve">As variáveis defasadas também podem ser </w:t>
      </w:r>
      <w:r w:rsidR="00641982" w:rsidRPr="00D82A5B">
        <w:rPr>
          <w:highlight w:val="green"/>
        </w:rPr>
        <w:t>considerada</w:t>
      </w:r>
      <w:r w:rsidR="00641982">
        <w:rPr>
          <w:highlight w:val="green"/>
        </w:rPr>
        <w:t xml:space="preserve">s </w:t>
      </w:r>
      <w:r w:rsidR="00641982" w:rsidRPr="00D82A5B">
        <w:rPr>
          <w:highlight w:val="green"/>
        </w:rPr>
        <w:t>exógena</w:t>
      </w:r>
      <w:r w:rsidR="00641982">
        <w:rPr>
          <w:highlight w:val="green"/>
        </w:rPr>
        <w:t>s</w:t>
      </w:r>
      <w:r w:rsidR="00641982" w:rsidRPr="00B05919">
        <w:rPr>
          <w:highlight w:val="green"/>
        </w:rPr>
        <w:t>,</w:t>
      </w:r>
      <w:r w:rsidR="00641982" w:rsidRPr="006216F4">
        <w:rPr>
          <w:highlight w:val="green"/>
        </w:rPr>
        <w:t xml:space="preserve"> altamente correlacionadas</w:t>
      </w:r>
      <w:r w:rsidR="00641982">
        <w:rPr>
          <w:highlight w:val="green"/>
        </w:rPr>
        <w:t xml:space="preserve"> consigo mesmas e ajudam a controlar o viés de variáveis omitidas e a endogeneidade, respectivamente, conforme destaca N</w:t>
      </w:r>
      <w:r w:rsidR="00641982">
        <w:rPr>
          <w:highlight w:val="green"/>
        </w:rPr>
        <w:t>eto</w:t>
      </w:r>
      <w:r w:rsidR="00641982">
        <w:rPr>
          <w:highlight w:val="green"/>
        </w:rPr>
        <w:t>, B</w:t>
      </w:r>
      <w:r w:rsidR="00641982">
        <w:rPr>
          <w:highlight w:val="green"/>
        </w:rPr>
        <w:t>randão</w:t>
      </w:r>
      <w:r w:rsidR="00641982">
        <w:rPr>
          <w:highlight w:val="green"/>
        </w:rPr>
        <w:t xml:space="preserve"> e C</w:t>
      </w:r>
      <w:r w:rsidR="00641982">
        <w:rPr>
          <w:highlight w:val="green"/>
        </w:rPr>
        <w:t>erqueira</w:t>
      </w:r>
      <w:r w:rsidR="00641982">
        <w:rPr>
          <w:highlight w:val="green"/>
        </w:rPr>
        <w:t xml:space="preserve"> (2008)</w:t>
      </w:r>
      <w:r w:rsidR="00641982" w:rsidRPr="006216F4">
        <w:rPr>
          <w:highlight w:val="green"/>
        </w:rPr>
        <w:t>. Ademais, não se espera que variáveis defasadas sejam correlacionadas com o termo de erro aleatório contemporâneo</w:t>
      </w:r>
      <w:r w:rsidR="0032205C" w:rsidRPr="008A5315">
        <w:t>.</w:t>
      </w:r>
      <w:r w:rsidR="00341065" w:rsidRPr="008A5315">
        <w:t xml:space="preserve"> </w:t>
      </w:r>
      <w:r w:rsidR="00A85228" w:rsidRPr="008A5315">
        <w:t>Portanto</w:t>
      </w:r>
      <w:r w:rsidR="006C1DB2" w:rsidRPr="008A5315">
        <w:t>, toda a análise apresentada nessa seção é feita tendo como referência a</w:t>
      </w:r>
      <w:r w:rsidR="000E3374" w:rsidRPr="008A5315">
        <w:t xml:space="preserve"> última coluna da </w:t>
      </w:r>
      <w:r w:rsidR="00472D21" w:rsidRPr="008A5315">
        <w:t>T</w:t>
      </w:r>
      <w:r w:rsidR="000E3374" w:rsidRPr="008A5315">
        <w:t xml:space="preserve">abela </w:t>
      </w:r>
      <w:r w:rsidR="008C2760" w:rsidRPr="008A5315">
        <w:t>3</w:t>
      </w:r>
      <w:r w:rsidR="000E3374" w:rsidRPr="008A5315">
        <w:t xml:space="preserve">, com </w:t>
      </w:r>
      <w:r w:rsidR="000768D2" w:rsidRPr="008A5315">
        <w:t xml:space="preserve">ênfase principal na análise da variável corrupção sobre a pobreza. </w:t>
      </w:r>
    </w:p>
    <w:p w14:paraId="661F89DF" w14:textId="4CF1AD08" w:rsidR="006E6DE4" w:rsidRPr="008A5315" w:rsidRDefault="006C1DB2" w:rsidP="00DC54B7">
      <w:pPr>
        <w:pStyle w:val="Textodecomentrio"/>
        <w:spacing w:line="360" w:lineRule="auto"/>
        <w:ind w:firstLine="708"/>
        <w:jc w:val="both"/>
        <w:rPr>
          <w:rFonts w:ascii="Times New Roman" w:hAnsi="Times New Roman" w:cs="Times New Roman"/>
          <w:sz w:val="24"/>
          <w:szCs w:val="24"/>
        </w:rPr>
      </w:pPr>
      <w:r w:rsidRPr="008A5315">
        <w:rPr>
          <w:rFonts w:ascii="Times New Roman" w:hAnsi="Times New Roman" w:cs="Times New Roman"/>
          <w:sz w:val="24"/>
          <w:szCs w:val="24"/>
        </w:rPr>
        <w:t>A priori, observe</w:t>
      </w:r>
      <w:r w:rsidR="00D34074" w:rsidRPr="008A5315">
        <w:rPr>
          <w:rFonts w:ascii="Times New Roman" w:hAnsi="Times New Roman" w:cs="Times New Roman"/>
          <w:sz w:val="24"/>
          <w:szCs w:val="24"/>
        </w:rPr>
        <w:t xml:space="preserve"> que</w:t>
      </w:r>
      <w:r w:rsidR="00987067" w:rsidRPr="008A5315">
        <w:rPr>
          <w:rFonts w:ascii="Times New Roman" w:hAnsi="Times New Roman" w:cs="Times New Roman"/>
          <w:sz w:val="24"/>
          <w:szCs w:val="24"/>
        </w:rPr>
        <w:t xml:space="preserve"> </w:t>
      </w:r>
      <w:r w:rsidR="00517B37" w:rsidRPr="008A5315">
        <w:rPr>
          <w:rFonts w:ascii="Times New Roman" w:hAnsi="Times New Roman" w:cs="Times New Roman"/>
          <w:sz w:val="24"/>
          <w:szCs w:val="24"/>
        </w:rPr>
        <w:t xml:space="preserve">praticamente </w:t>
      </w:r>
      <w:r w:rsidR="00A0686A" w:rsidRPr="008A5315">
        <w:rPr>
          <w:rFonts w:ascii="Times New Roman" w:hAnsi="Times New Roman" w:cs="Times New Roman"/>
          <w:sz w:val="24"/>
          <w:szCs w:val="24"/>
        </w:rPr>
        <w:t>todas as variáveis</w:t>
      </w:r>
      <w:r w:rsidRPr="008A5315">
        <w:rPr>
          <w:rFonts w:ascii="Times New Roman" w:hAnsi="Times New Roman" w:cs="Times New Roman"/>
          <w:sz w:val="24"/>
          <w:szCs w:val="24"/>
        </w:rPr>
        <w:t xml:space="preserve"> explicativas</w:t>
      </w:r>
      <w:r w:rsidR="00A0686A" w:rsidRPr="008A5315">
        <w:rPr>
          <w:rFonts w:ascii="Times New Roman" w:hAnsi="Times New Roman" w:cs="Times New Roman"/>
          <w:sz w:val="24"/>
          <w:szCs w:val="24"/>
        </w:rPr>
        <w:t xml:space="preserve"> incluídas </w:t>
      </w:r>
      <w:r w:rsidR="00987067" w:rsidRPr="008A5315">
        <w:rPr>
          <w:rFonts w:ascii="Times New Roman" w:hAnsi="Times New Roman" w:cs="Times New Roman"/>
          <w:sz w:val="24"/>
          <w:szCs w:val="24"/>
        </w:rPr>
        <w:t>no modelo apresentaram significância estatística</w:t>
      </w:r>
      <w:r w:rsidR="00517B37" w:rsidRPr="008A5315">
        <w:rPr>
          <w:rFonts w:ascii="Times New Roman" w:hAnsi="Times New Roman" w:cs="Times New Roman"/>
          <w:sz w:val="24"/>
          <w:szCs w:val="24"/>
        </w:rPr>
        <w:t xml:space="preserve">, as exceções são algumas variáveis </w:t>
      </w:r>
      <w:proofErr w:type="spellStart"/>
      <w:r w:rsidR="00517B37" w:rsidRPr="008A5315">
        <w:rPr>
          <w:rFonts w:ascii="Times New Roman" w:hAnsi="Times New Roman" w:cs="Times New Roman"/>
          <w:i/>
          <w:iCs/>
          <w:sz w:val="24"/>
          <w:szCs w:val="24"/>
        </w:rPr>
        <w:t>dummies</w:t>
      </w:r>
      <w:proofErr w:type="spellEnd"/>
      <w:r w:rsidR="00517B37" w:rsidRPr="008A5315">
        <w:rPr>
          <w:rFonts w:ascii="Times New Roman" w:hAnsi="Times New Roman" w:cs="Times New Roman"/>
          <w:i/>
          <w:iCs/>
          <w:sz w:val="24"/>
          <w:szCs w:val="24"/>
        </w:rPr>
        <w:t xml:space="preserve"> </w:t>
      </w:r>
      <w:r w:rsidR="00517B37" w:rsidRPr="008A5315">
        <w:rPr>
          <w:rFonts w:ascii="Times New Roman" w:hAnsi="Times New Roman" w:cs="Times New Roman"/>
          <w:sz w:val="24"/>
          <w:szCs w:val="24"/>
        </w:rPr>
        <w:t>r</w:t>
      </w:r>
      <w:r w:rsidR="0008790F" w:rsidRPr="008A5315">
        <w:rPr>
          <w:rFonts w:ascii="Times New Roman" w:hAnsi="Times New Roman" w:cs="Times New Roman"/>
          <w:sz w:val="24"/>
          <w:szCs w:val="24"/>
        </w:rPr>
        <w:t>eferentes a</w:t>
      </w:r>
      <w:r w:rsidR="00517B37" w:rsidRPr="008A5315">
        <w:rPr>
          <w:rFonts w:ascii="Times New Roman" w:hAnsi="Times New Roman" w:cs="Times New Roman"/>
          <w:sz w:val="24"/>
          <w:szCs w:val="24"/>
        </w:rPr>
        <w:t>o</w:t>
      </w:r>
      <w:r w:rsidR="008306C5" w:rsidRPr="008A5315">
        <w:rPr>
          <w:rFonts w:ascii="Times New Roman" w:hAnsi="Times New Roman" w:cs="Times New Roman"/>
          <w:sz w:val="24"/>
          <w:szCs w:val="24"/>
        </w:rPr>
        <w:t>s</w:t>
      </w:r>
      <w:r w:rsidR="00517B37" w:rsidRPr="008A5315">
        <w:rPr>
          <w:rFonts w:ascii="Times New Roman" w:hAnsi="Times New Roman" w:cs="Times New Roman"/>
          <w:sz w:val="24"/>
          <w:szCs w:val="24"/>
        </w:rPr>
        <w:t xml:space="preserve"> ano</w:t>
      </w:r>
      <w:r w:rsidR="008306C5" w:rsidRPr="008A5315">
        <w:rPr>
          <w:rFonts w:ascii="Times New Roman" w:hAnsi="Times New Roman" w:cs="Times New Roman"/>
          <w:sz w:val="24"/>
          <w:szCs w:val="24"/>
        </w:rPr>
        <w:t>s de</w:t>
      </w:r>
      <w:r w:rsidR="00517B37" w:rsidRPr="008A5315">
        <w:rPr>
          <w:rFonts w:ascii="Times New Roman" w:hAnsi="Times New Roman" w:cs="Times New Roman"/>
          <w:sz w:val="24"/>
          <w:szCs w:val="24"/>
        </w:rPr>
        <w:t xml:space="preserve"> 200</w:t>
      </w:r>
      <w:r w:rsidR="007514AD" w:rsidRPr="008A5315">
        <w:rPr>
          <w:rFonts w:ascii="Times New Roman" w:hAnsi="Times New Roman" w:cs="Times New Roman"/>
          <w:sz w:val="24"/>
          <w:szCs w:val="24"/>
        </w:rPr>
        <w:t>8, 2012</w:t>
      </w:r>
      <w:r w:rsidR="00517B37" w:rsidRPr="008A5315">
        <w:rPr>
          <w:rFonts w:ascii="Times New Roman" w:hAnsi="Times New Roman" w:cs="Times New Roman"/>
          <w:sz w:val="24"/>
          <w:szCs w:val="24"/>
        </w:rPr>
        <w:t xml:space="preserve"> e 201</w:t>
      </w:r>
      <w:r w:rsidR="00264A22" w:rsidRPr="008A5315">
        <w:rPr>
          <w:rFonts w:ascii="Times New Roman" w:hAnsi="Times New Roman" w:cs="Times New Roman"/>
          <w:sz w:val="24"/>
          <w:szCs w:val="24"/>
        </w:rPr>
        <w:t>3</w:t>
      </w:r>
      <w:r w:rsidR="00987067" w:rsidRPr="008A5315">
        <w:rPr>
          <w:rFonts w:ascii="Times New Roman" w:hAnsi="Times New Roman" w:cs="Times New Roman"/>
          <w:sz w:val="24"/>
          <w:szCs w:val="24"/>
        </w:rPr>
        <w:t xml:space="preserve">. </w:t>
      </w:r>
      <w:r w:rsidR="0008790F" w:rsidRPr="008A5315">
        <w:rPr>
          <w:rFonts w:ascii="Times New Roman" w:hAnsi="Times New Roman" w:cs="Times New Roman"/>
          <w:sz w:val="24"/>
          <w:szCs w:val="24"/>
        </w:rPr>
        <w:t>Todas as demais variáveis apresentaram significância</w:t>
      </w:r>
      <w:r w:rsidR="00517B37" w:rsidRPr="008A5315">
        <w:rPr>
          <w:rFonts w:ascii="Times New Roman" w:hAnsi="Times New Roman" w:cs="Times New Roman"/>
          <w:sz w:val="24"/>
          <w:szCs w:val="24"/>
        </w:rPr>
        <w:t xml:space="preserve"> </w:t>
      </w:r>
      <w:r w:rsidR="00987067" w:rsidRPr="008A5315">
        <w:rPr>
          <w:rFonts w:ascii="Times New Roman" w:hAnsi="Times New Roman" w:cs="Times New Roman"/>
          <w:sz w:val="24"/>
          <w:szCs w:val="24"/>
        </w:rPr>
        <w:t xml:space="preserve">ao nível de </w:t>
      </w:r>
      <w:r w:rsidR="00264A22" w:rsidRPr="008A5315">
        <w:rPr>
          <w:rFonts w:ascii="Times New Roman" w:hAnsi="Times New Roman" w:cs="Times New Roman"/>
          <w:sz w:val="24"/>
          <w:szCs w:val="24"/>
        </w:rPr>
        <w:t>5</w:t>
      </w:r>
      <w:r w:rsidR="00987067" w:rsidRPr="008A5315">
        <w:rPr>
          <w:rFonts w:ascii="Times New Roman" w:hAnsi="Times New Roman" w:cs="Times New Roman"/>
          <w:sz w:val="24"/>
          <w:szCs w:val="24"/>
        </w:rPr>
        <w:t>%</w:t>
      </w:r>
      <w:r w:rsidR="00264A22" w:rsidRPr="008A5315">
        <w:rPr>
          <w:rFonts w:ascii="Times New Roman" w:hAnsi="Times New Roman" w:cs="Times New Roman"/>
          <w:sz w:val="24"/>
          <w:szCs w:val="24"/>
        </w:rPr>
        <w:t xml:space="preserve"> ou 10%, respectivamente</w:t>
      </w:r>
      <w:r w:rsidR="00310A11" w:rsidRPr="008A5315">
        <w:rPr>
          <w:rFonts w:ascii="Times New Roman" w:hAnsi="Times New Roman" w:cs="Times New Roman"/>
          <w:sz w:val="24"/>
          <w:szCs w:val="24"/>
        </w:rPr>
        <w:t xml:space="preserve">. </w:t>
      </w:r>
      <w:r w:rsidR="007969C8" w:rsidRPr="008A5315">
        <w:rPr>
          <w:rFonts w:ascii="Times New Roman" w:hAnsi="Times New Roman" w:cs="Times New Roman"/>
          <w:sz w:val="24"/>
          <w:szCs w:val="24"/>
        </w:rPr>
        <w:t xml:space="preserve">Em outros termos, </w:t>
      </w:r>
      <w:r w:rsidR="00B51D75" w:rsidRPr="008A5315">
        <w:rPr>
          <w:rFonts w:ascii="Times New Roman" w:hAnsi="Times New Roman" w:cs="Times New Roman"/>
          <w:sz w:val="24"/>
          <w:szCs w:val="24"/>
        </w:rPr>
        <w:t xml:space="preserve">as variáveis incluídas no modelo explicam as variações no indicador de pobreza municipal com nível de confiança </w:t>
      </w:r>
      <w:r w:rsidR="00214430" w:rsidRPr="008A5315">
        <w:rPr>
          <w:rFonts w:ascii="Times New Roman" w:hAnsi="Times New Roman" w:cs="Times New Roman"/>
          <w:sz w:val="24"/>
          <w:szCs w:val="24"/>
        </w:rPr>
        <w:t xml:space="preserve">de </w:t>
      </w:r>
      <w:r w:rsidR="00B51D75" w:rsidRPr="008A5315">
        <w:rPr>
          <w:rFonts w:ascii="Times New Roman" w:hAnsi="Times New Roman" w:cs="Times New Roman"/>
          <w:sz w:val="24"/>
          <w:szCs w:val="24"/>
        </w:rPr>
        <w:t>9</w:t>
      </w:r>
      <w:r w:rsidR="00264A22" w:rsidRPr="008A5315">
        <w:rPr>
          <w:rFonts w:ascii="Times New Roman" w:hAnsi="Times New Roman" w:cs="Times New Roman"/>
          <w:sz w:val="24"/>
          <w:szCs w:val="24"/>
        </w:rPr>
        <w:t>5</w:t>
      </w:r>
      <w:r w:rsidR="00B51D75" w:rsidRPr="008A5315">
        <w:rPr>
          <w:rFonts w:ascii="Times New Roman" w:hAnsi="Times New Roman" w:cs="Times New Roman"/>
          <w:sz w:val="24"/>
          <w:szCs w:val="24"/>
        </w:rPr>
        <w:t>%</w:t>
      </w:r>
      <w:r w:rsidR="00264A22" w:rsidRPr="008A5315">
        <w:rPr>
          <w:rFonts w:ascii="Times New Roman" w:hAnsi="Times New Roman" w:cs="Times New Roman"/>
          <w:sz w:val="24"/>
          <w:szCs w:val="24"/>
        </w:rPr>
        <w:t xml:space="preserve"> ou 90%, respectivamente</w:t>
      </w:r>
      <w:r w:rsidR="006E6DE4" w:rsidRPr="008A5315">
        <w:rPr>
          <w:rFonts w:ascii="Times New Roman" w:hAnsi="Times New Roman" w:cs="Times New Roman"/>
          <w:sz w:val="24"/>
          <w:szCs w:val="24"/>
        </w:rPr>
        <w:t>. Sendo as mesmas, portanto, relevantes e significantes</w:t>
      </w:r>
      <w:r w:rsidR="009B4606" w:rsidRPr="008A5315">
        <w:rPr>
          <w:rFonts w:ascii="Times New Roman" w:hAnsi="Times New Roman" w:cs="Times New Roman"/>
          <w:sz w:val="24"/>
          <w:szCs w:val="24"/>
        </w:rPr>
        <w:t xml:space="preserve"> do ponto de vista estatístico</w:t>
      </w:r>
      <w:r w:rsidR="006E6DE4" w:rsidRPr="008A5315">
        <w:rPr>
          <w:rFonts w:ascii="Times New Roman" w:hAnsi="Times New Roman" w:cs="Times New Roman"/>
          <w:sz w:val="24"/>
          <w:szCs w:val="24"/>
        </w:rPr>
        <w:t>.</w:t>
      </w:r>
    </w:p>
    <w:p w14:paraId="5E358683" w14:textId="4BB47AA9" w:rsidR="00B51D75" w:rsidRPr="008A5315" w:rsidRDefault="000768D2" w:rsidP="00DC54B7">
      <w:pPr>
        <w:pStyle w:val="Textodecomentrio"/>
        <w:spacing w:line="360" w:lineRule="auto"/>
        <w:ind w:firstLine="708"/>
        <w:jc w:val="both"/>
        <w:rPr>
          <w:rFonts w:ascii="Times New Roman" w:hAnsi="Times New Roman" w:cs="Times New Roman"/>
          <w:sz w:val="24"/>
          <w:szCs w:val="24"/>
        </w:rPr>
      </w:pPr>
      <w:r w:rsidRPr="008A5315">
        <w:rPr>
          <w:rFonts w:ascii="Times New Roman" w:hAnsi="Times New Roman" w:cs="Times New Roman"/>
          <w:sz w:val="24"/>
          <w:szCs w:val="24"/>
        </w:rPr>
        <w:t xml:space="preserve">Iniciando a análise do efeito da corrupção, </w:t>
      </w:r>
      <w:r w:rsidR="003715E3" w:rsidRPr="008A5315">
        <w:rPr>
          <w:rFonts w:ascii="Times New Roman" w:hAnsi="Times New Roman" w:cs="Times New Roman"/>
          <w:sz w:val="24"/>
          <w:szCs w:val="24"/>
        </w:rPr>
        <w:t xml:space="preserve">o resultado gerado por esse </w:t>
      </w:r>
      <w:proofErr w:type="spellStart"/>
      <w:r w:rsidR="003715E3" w:rsidRPr="008A5315">
        <w:rPr>
          <w:rFonts w:ascii="Times New Roman" w:hAnsi="Times New Roman" w:cs="Times New Roman"/>
          <w:sz w:val="24"/>
          <w:szCs w:val="24"/>
        </w:rPr>
        <w:t>regressor</w:t>
      </w:r>
      <w:proofErr w:type="spellEnd"/>
      <w:r w:rsidR="00046920" w:rsidRPr="008A5315">
        <w:rPr>
          <w:rFonts w:ascii="Times New Roman" w:hAnsi="Times New Roman" w:cs="Times New Roman"/>
          <w:sz w:val="24"/>
          <w:szCs w:val="24"/>
        </w:rPr>
        <w:t xml:space="preserve"> sugere que um aumento no nível de corrupção </w:t>
      </w:r>
      <w:r w:rsidR="00950AD8" w:rsidRPr="008A5315">
        <w:rPr>
          <w:rFonts w:ascii="Times New Roman" w:hAnsi="Times New Roman" w:cs="Times New Roman"/>
          <w:sz w:val="24"/>
          <w:szCs w:val="24"/>
        </w:rPr>
        <w:t>diminu</w:t>
      </w:r>
      <w:r w:rsidR="008306C5" w:rsidRPr="008A5315">
        <w:rPr>
          <w:rFonts w:ascii="Times New Roman" w:hAnsi="Times New Roman" w:cs="Times New Roman"/>
          <w:sz w:val="24"/>
          <w:szCs w:val="24"/>
        </w:rPr>
        <w:t>i</w:t>
      </w:r>
      <w:r w:rsidR="00046920" w:rsidRPr="008A5315">
        <w:rPr>
          <w:rFonts w:ascii="Times New Roman" w:hAnsi="Times New Roman" w:cs="Times New Roman"/>
          <w:sz w:val="24"/>
          <w:szCs w:val="24"/>
        </w:rPr>
        <w:t xml:space="preserve"> as chances </w:t>
      </w:r>
      <w:r w:rsidR="00214430" w:rsidRPr="008A5315">
        <w:rPr>
          <w:rFonts w:ascii="Times New Roman" w:hAnsi="Times New Roman" w:cs="Times New Roman"/>
          <w:sz w:val="24"/>
          <w:szCs w:val="24"/>
        </w:rPr>
        <w:t>de o</w:t>
      </w:r>
      <w:r w:rsidR="00046920" w:rsidRPr="008A5315">
        <w:rPr>
          <w:rFonts w:ascii="Times New Roman" w:hAnsi="Times New Roman" w:cs="Times New Roman"/>
          <w:sz w:val="24"/>
          <w:szCs w:val="24"/>
        </w:rPr>
        <w:t xml:space="preserve"> município ter um aumento </w:t>
      </w:r>
      <w:r w:rsidRPr="008A5315">
        <w:rPr>
          <w:rFonts w:ascii="Times New Roman" w:hAnsi="Times New Roman" w:cs="Times New Roman"/>
          <w:sz w:val="24"/>
          <w:szCs w:val="24"/>
        </w:rPr>
        <w:t>no IFDM, e consequentemente</w:t>
      </w:r>
      <w:r w:rsidR="00BF05D3" w:rsidRPr="008A5315">
        <w:rPr>
          <w:rFonts w:ascii="Times New Roman" w:hAnsi="Times New Roman" w:cs="Times New Roman"/>
          <w:sz w:val="24"/>
          <w:szCs w:val="24"/>
        </w:rPr>
        <w:t xml:space="preserve"> </w:t>
      </w:r>
      <w:r w:rsidRPr="008A5315">
        <w:rPr>
          <w:rFonts w:ascii="Times New Roman" w:hAnsi="Times New Roman" w:cs="Times New Roman"/>
          <w:sz w:val="24"/>
          <w:szCs w:val="24"/>
        </w:rPr>
        <w:t xml:space="preserve">uma </w:t>
      </w:r>
      <w:r w:rsidR="00BF05D3" w:rsidRPr="008A5315">
        <w:rPr>
          <w:rFonts w:ascii="Times New Roman" w:hAnsi="Times New Roman" w:cs="Times New Roman"/>
          <w:sz w:val="24"/>
          <w:szCs w:val="24"/>
        </w:rPr>
        <w:t>redução na pobreza</w:t>
      </w:r>
      <w:r w:rsidR="003715E3" w:rsidRPr="008A5315">
        <w:rPr>
          <w:rFonts w:ascii="Times New Roman" w:hAnsi="Times New Roman" w:cs="Times New Roman"/>
          <w:sz w:val="24"/>
          <w:szCs w:val="24"/>
        </w:rPr>
        <w:t xml:space="preserve">. Ou seja, </w:t>
      </w:r>
      <w:r w:rsidR="00B51D75" w:rsidRPr="008A5315">
        <w:rPr>
          <w:rFonts w:ascii="Times New Roman" w:hAnsi="Times New Roman" w:cs="Times New Roman"/>
          <w:sz w:val="24"/>
          <w:szCs w:val="24"/>
        </w:rPr>
        <w:t>o aumento de 1% no indicador de corrupção, com base no aumento do número de processos investigados e julgados em um município brasileiro, tende a aumentar o nível de pobreza desse município na ordem de 0,</w:t>
      </w:r>
      <w:r w:rsidR="005D013D" w:rsidRPr="008A5315">
        <w:rPr>
          <w:rFonts w:ascii="Times New Roman" w:hAnsi="Times New Roman" w:cs="Times New Roman"/>
          <w:sz w:val="24"/>
          <w:szCs w:val="24"/>
        </w:rPr>
        <w:t>0</w:t>
      </w:r>
      <w:r w:rsidR="00B51D75" w:rsidRPr="008A5315">
        <w:rPr>
          <w:rFonts w:ascii="Times New Roman" w:hAnsi="Times New Roman" w:cs="Times New Roman"/>
          <w:sz w:val="24"/>
          <w:szCs w:val="24"/>
        </w:rPr>
        <w:t>0</w:t>
      </w:r>
      <w:r w:rsidR="006D5BAE" w:rsidRPr="008A5315">
        <w:rPr>
          <w:rFonts w:ascii="Times New Roman" w:hAnsi="Times New Roman" w:cs="Times New Roman"/>
          <w:sz w:val="24"/>
          <w:szCs w:val="24"/>
        </w:rPr>
        <w:t>6</w:t>
      </w:r>
      <w:r w:rsidR="00B51D75" w:rsidRPr="008A5315">
        <w:rPr>
          <w:rFonts w:ascii="Times New Roman" w:hAnsi="Times New Roman" w:cs="Times New Roman"/>
          <w:sz w:val="24"/>
          <w:szCs w:val="24"/>
        </w:rPr>
        <w:t>%, dado pela redução no IFDM.</w:t>
      </w:r>
    </w:p>
    <w:p w14:paraId="135E9847" w14:textId="77777777" w:rsidR="009227B8" w:rsidRPr="008A5315" w:rsidRDefault="00C42FE8" w:rsidP="00DC54B7">
      <w:pPr>
        <w:spacing w:line="360" w:lineRule="auto"/>
        <w:ind w:firstLine="708"/>
        <w:jc w:val="both"/>
      </w:pPr>
      <w:r w:rsidRPr="008A5315">
        <w:t>É importante esclarecer que o resultado aparentemente baixo da elasticidade IFDM/</w:t>
      </w:r>
      <w:proofErr w:type="spellStart"/>
      <w:r w:rsidRPr="008A5315">
        <w:rPr>
          <w:i/>
        </w:rPr>
        <w:t>Corrup</w:t>
      </w:r>
      <w:r w:rsidRPr="008A5315">
        <w:rPr>
          <w:i/>
          <w:vertAlign w:val="subscript"/>
        </w:rPr>
        <w:t>it</w:t>
      </w:r>
      <w:proofErr w:type="spellEnd"/>
      <w:r w:rsidRPr="008A5315">
        <w:rPr>
          <w:i/>
        </w:rPr>
        <w:t xml:space="preserve"> </w:t>
      </w:r>
      <w:r w:rsidRPr="008A5315">
        <w:t>não se configura necessariamente em uma baixa influência da corrupção na pobreza. Isso porque, há uma grande amplitude no indicador de corrupção entre os municípios. Os dados usados para a estimação mostram que se por um lado existe munic</w:t>
      </w:r>
      <w:r w:rsidR="0082386E" w:rsidRPr="008A5315">
        <w:t>ípio com 1.074 processos investigados e julgados</w:t>
      </w:r>
      <w:r w:rsidRPr="008A5315">
        <w:t xml:space="preserve"> na CGU no período analisado,</w:t>
      </w:r>
      <w:r w:rsidR="008C35F1" w:rsidRPr="008A5315">
        <w:t xml:space="preserve"> por outro</w:t>
      </w:r>
      <w:r w:rsidRPr="008A5315">
        <w:t xml:space="preserve"> existem municípios que sequer realizaram algum registro. Como a </w:t>
      </w:r>
      <w:r w:rsidR="003D03D7" w:rsidRPr="008A5315">
        <w:t>sensibilidade do IFDM</w:t>
      </w:r>
      <w:r w:rsidRPr="008A5315">
        <w:t xml:space="preserve"> é medida por unidade de processo,</w:t>
      </w:r>
      <w:r w:rsidR="003D03D7" w:rsidRPr="008A5315">
        <w:t xml:space="preserve"> essa amplitude do indicador de corrupção</w:t>
      </w:r>
      <w:r w:rsidR="0004391B" w:rsidRPr="008A5315">
        <w:t xml:space="preserve"> pode </w:t>
      </w:r>
      <w:r w:rsidR="003D03D7" w:rsidRPr="008A5315">
        <w:t xml:space="preserve">produzir uma contribuição </w:t>
      </w:r>
      <w:r w:rsidR="008306C5" w:rsidRPr="008A5315">
        <w:t>supostamente</w:t>
      </w:r>
      <w:r w:rsidR="003D03D7" w:rsidRPr="008A5315">
        <w:t xml:space="preserve"> baixa desse </w:t>
      </w:r>
      <w:proofErr w:type="spellStart"/>
      <w:r w:rsidR="003D03D7" w:rsidRPr="008A5315">
        <w:t>regressor</w:t>
      </w:r>
      <w:proofErr w:type="spellEnd"/>
      <w:r w:rsidR="003D03D7" w:rsidRPr="008A5315">
        <w:t>.</w:t>
      </w:r>
    </w:p>
    <w:p w14:paraId="3B47C7A8" w14:textId="5AA877FF" w:rsidR="00C42FE8" w:rsidRPr="008A5315" w:rsidRDefault="000C4188" w:rsidP="00DC54B7">
      <w:pPr>
        <w:spacing w:line="360" w:lineRule="auto"/>
        <w:ind w:firstLine="708"/>
        <w:jc w:val="both"/>
      </w:pPr>
      <w:r w:rsidRPr="008A5315">
        <w:t xml:space="preserve">Ademais, </w:t>
      </w:r>
      <w:r w:rsidR="009227B8" w:rsidRPr="008A5315">
        <w:t xml:space="preserve">a </w:t>
      </w:r>
      <w:r w:rsidRPr="008A5315">
        <w:t>variável</w:t>
      </w:r>
      <w:r w:rsidR="009227B8" w:rsidRPr="008A5315">
        <w:t xml:space="preserve"> </w:t>
      </w:r>
      <w:proofErr w:type="spellStart"/>
      <w:r w:rsidR="009227B8" w:rsidRPr="008A5315">
        <w:rPr>
          <w:i/>
        </w:rPr>
        <w:t>Corrup</w:t>
      </w:r>
      <w:r w:rsidR="009227B8" w:rsidRPr="008A5315">
        <w:rPr>
          <w:i/>
          <w:vertAlign w:val="subscript"/>
        </w:rPr>
        <w:t>it</w:t>
      </w:r>
      <w:proofErr w:type="spellEnd"/>
      <w:r w:rsidRPr="008A5315">
        <w:t xml:space="preserve"> reporta apenas parte da corrupção existente no setor público municipal. Como destaca Batista (2013), “a corrupção é um fenômeno complexo, </w:t>
      </w:r>
      <w:r w:rsidRPr="008A5315">
        <w:lastRenderedPageBreak/>
        <w:t>multifacetado e de difícil explicação”. Sendo assim, diante da inexistência de uma variável mais adequada para corrupção a análise desta torna-se de certo modo limitada</w:t>
      </w:r>
      <w:r w:rsidR="00184979" w:rsidRPr="008A5315">
        <w:t>, refletindo-se na baixa elasticidade obtida nas estimações</w:t>
      </w:r>
      <w:r w:rsidRPr="008A5315">
        <w:t xml:space="preserve">. </w:t>
      </w:r>
    </w:p>
    <w:p w14:paraId="71742D5A" w14:textId="7EC376E0" w:rsidR="004F7487" w:rsidRPr="008A5315" w:rsidRDefault="00881AA1" w:rsidP="00DC54B7">
      <w:pPr>
        <w:spacing w:line="360" w:lineRule="auto"/>
        <w:ind w:firstLine="708"/>
        <w:jc w:val="both"/>
      </w:pPr>
      <w:r w:rsidRPr="008A5315">
        <w:t xml:space="preserve">Essa constatação </w:t>
      </w:r>
      <w:r w:rsidR="00C42FE8" w:rsidRPr="008A5315">
        <w:t xml:space="preserve">da influência positiva da corrupção no aumento da pobreza </w:t>
      </w:r>
      <w:r w:rsidRPr="008A5315">
        <w:t xml:space="preserve">converge com os resultados encontrados por </w:t>
      </w:r>
      <w:proofErr w:type="spellStart"/>
      <w:r w:rsidRPr="008A5315">
        <w:t>Ildırar</w:t>
      </w:r>
      <w:proofErr w:type="spellEnd"/>
      <w:r w:rsidRPr="008A5315">
        <w:t xml:space="preserve"> e </w:t>
      </w:r>
      <w:proofErr w:type="spellStart"/>
      <w:r w:rsidRPr="008A5315">
        <w:t>Iscan</w:t>
      </w:r>
      <w:proofErr w:type="spellEnd"/>
      <w:r w:rsidRPr="008A5315">
        <w:t xml:space="preserve"> (2015), realizado para a Europa Oriental e Ásia Central ao utilizarem como indicador de corrupção o Índice </w:t>
      </w:r>
      <w:r w:rsidR="0034178C" w:rsidRPr="008A5315">
        <w:t>de Percepção da Corrupção</w:t>
      </w:r>
      <w:r w:rsidR="00C27487" w:rsidRPr="008A5315">
        <w:t>,</w:t>
      </w:r>
      <w:r w:rsidRPr="008A5315">
        <w:t xml:space="preserve"> com os de </w:t>
      </w:r>
      <w:proofErr w:type="spellStart"/>
      <w:r w:rsidRPr="008A5315">
        <w:t>Dincer</w:t>
      </w:r>
      <w:proofErr w:type="spellEnd"/>
      <w:r w:rsidRPr="008A5315">
        <w:t xml:space="preserve"> e </w:t>
      </w:r>
      <w:proofErr w:type="spellStart"/>
      <w:r w:rsidRPr="008A5315">
        <w:t>Gunalp</w:t>
      </w:r>
      <w:proofErr w:type="spellEnd"/>
      <w:r w:rsidRPr="008A5315">
        <w:t xml:space="preserve"> (2008) ao considerar o número de funcionários públicos condenados em um estado por crimes relacionados à corrupção nos Estados Unidos e também com os de </w:t>
      </w:r>
      <w:proofErr w:type="spellStart"/>
      <w:r w:rsidRPr="008A5315">
        <w:t>Ajisafe</w:t>
      </w:r>
      <w:proofErr w:type="spellEnd"/>
      <w:r w:rsidRPr="008A5315">
        <w:t xml:space="preserve"> (2016) para a Nigéria ao utilizar dados do banco mundial. </w:t>
      </w:r>
    </w:p>
    <w:p w14:paraId="6042D957" w14:textId="1B71609A" w:rsidR="00CE00FA" w:rsidRPr="008A5315" w:rsidRDefault="00CE00FA" w:rsidP="00DC54B7">
      <w:pPr>
        <w:spacing w:line="360" w:lineRule="auto"/>
        <w:jc w:val="both"/>
      </w:pPr>
      <w:r w:rsidRPr="008A5315">
        <w:rPr>
          <w:i/>
        </w:rPr>
        <w:tab/>
      </w:r>
      <w:r w:rsidR="003B5CF5" w:rsidRPr="008A5315">
        <w:t>Dando sequência as demais variáveis explicativas, c</w:t>
      </w:r>
      <w:r w:rsidR="00934476" w:rsidRPr="008A5315">
        <w:t>om relação a</w:t>
      </w:r>
      <w:r w:rsidRPr="008A5315">
        <w:t xml:space="preserve">o tamanho do governo, </w:t>
      </w:r>
      <w:proofErr w:type="spellStart"/>
      <w:r w:rsidR="001F6712" w:rsidRPr="008A5315">
        <w:rPr>
          <w:i/>
        </w:rPr>
        <w:t>TamG</w:t>
      </w:r>
      <w:r w:rsidR="00073259" w:rsidRPr="008A5315">
        <w:rPr>
          <w:i/>
          <w:vertAlign w:val="subscript"/>
        </w:rPr>
        <w:t>it</w:t>
      </w:r>
      <w:proofErr w:type="spellEnd"/>
      <w:r w:rsidR="00934476" w:rsidRPr="008A5315">
        <w:t xml:space="preserve">, </w:t>
      </w:r>
      <w:r w:rsidRPr="008A5315">
        <w:t xml:space="preserve">o resultado sugere que </w:t>
      </w:r>
      <w:r w:rsidR="005D013D" w:rsidRPr="008A5315">
        <w:t>à</w:t>
      </w:r>
      <w:r w:rsidRPr="008A5315">
        <w:t xml:space="preserve"> medida que a proporção de gastos em relação</w:t>
      </w:r>
      <w:r w:rsidR="00934476" w:rsidRPr="008A5315">
        <w:t xml:space="preserve"> ao PIB se eleva, </w:t>
      </w:r>
      <w:r w:rsidR="00A91FC3" w:rsidRPr="008A5315">
        <w:t xml:space="preserve">reduzem </w:t>
      </w:r>
      <w:r w:rsidR="00934476" w:rsidRPr="008A5315">
        <w:t>as chances de um município ter um aumento no IFDM, e assim reduzir a sua pobreza.</w:t>
      </w:r>
      <w:r w:rsidR="00970563" w:rsidRPr="008A5315">
        <w:t xml:space="preserve"> Sendo assim, </w:t>
      </w:r>
      <w:r w:rsidR="00DD1DF5" w:rsidRPr="008A5315">
        <w:t>parece ser</w:t>
      </w:r>
      <w:r w:rsidR="00970563" w:rsidRPr="008A5315">
        <w:t xml:space="preserve"> correto afirmar que há uma relação </w:t>
      </w:r>
      <w:r w:rsidR="00A91FC3" w:rsidRPr="008A5315">
        <w:t>direta</w:t>
      </w:r>
      <w:r w:rsidR="00970563" w:rsidRPr="008A5315">
        <w:t xml:space="preserve"> entre tamanho do governo</w:t>
      </w:r>
      <w:r w:rsidR="00DD1DF5" w:rsidRPr="008A5315">
        <w:t xml:space="preserve"> e tamanho da pobreza nos municípios brasileiros</w:t>
      </w:r>
      <w:r w:rsidR="00A91FC3" w:rsidRPr="008A5315">
        <w:t xml:space="preserve">. De fato, </w:t>
      </w:r>
      <w:r w:rsidR="00DD1DF5" w:rsidRPr="008A5315">
        <w:t>o aumento de gastos públicos po</w:t>
      </w:r>
      <w:r w:rsidR="00A91FC3" w:rsidRPr="008A5315">
        <w:t>de</w:t>
      </w:r>
      <w:r w:rsidR="00DD1DF5" w:rsidRPr="008A5315">
        <w:t xml:space="preserve"> induzir a um aumento na inflação </w:t>
      </w:r>
      <w:r w:rsidR="005D013D" w:rsidRPr="008A5315">
        <w:t xml:space="preserve">e maior incidência de corrupção </w:t>
      </w:r>
      <w:r w:rsidR="00DD1DF5" w:rsidRPr="008A5315">
        <w:t xml:space="preserve">e esta, por sua vez, </w:t>
      </w:r>
      <w:r w:rsidR="009415BD" w:rsidRPr="008A5315">
        <w:t xml:space="preserve">traduz-se em </w:t>
      </w:r>
      <w:r w:rsidR="00DD1DF5" w:rsidRPr="008A5315">
        <w:t>aumento na pobreza.</w:t>
      </w:r>
    </w:p>
    <w:p w14:paraId="0EFE839B" w14:textId="17CB1B76" w:rsidR="00CE220C" w:rsidRPr="008A5315" w:rsidRDefault="00934476" w:rsidP="00DC54B7">
      <w:pPr>
        <w:spacing w:line="360" w:lineRule="auto"/>
        <w:jc w:val="both"/>
      </w:pPr>
      <w:r w:rsidRPr="008A5315">
        <w:tab/>
        <w:t>Na mesma direção</w:t>
      </w:r>
      <w:r w:rsidR="008E0CE6" w:rsidRPr="008A5315">
        <w:t xml:space="preserve"> e contrariando o que se esperava</w:t>
      </w:r>
      <w:r w:rsidR="000A1B6A" w:rsidRPr="008A5315">
        <w:t>,</w:t>
      </w:r>
      <w:r w:rsidR="008E0CE6" w:rsidRPr="008A5315">
        <w:t xml:space="preserve"> </w:t>
      </w:r>
      <w:r w:rsidR="000A1B6A" w:rsidRPr="008A5315">
        <w:t>o</w:t>
      </w:r>
      <w:r w:rsidR="008E0CE6" w:rsidRPr="008A5315">
        <w:t>s resultados indicam que</w:t>
      </w:r>
      <w:r w:rsidRPr="008A5315">
        <w:t xml:space="preserve"> </w:t>
      </w:r>
      <w:r w:rsidR="000A1B6A" w:rsidRPr="008A5315">
        <w:t xml:space="preserve">a </w:t>
      </w:r>
      <w:r w:rsidRPr="008A5315">
        <w:t>produtividade dos gastos</w:t>
      </w:r>
      <w:r w:rsidR="001F6712" w:rsidRPr="008A5315">
        <w:t>,</w:t>
      </w:r>
      <w:r w:rsidR="001F6712" w:rsidRPr="008A5315">
        <w:rPr>
          <w:i/>
        </w:rPr>
        <w:t xml:space="preserve"> </w:t>
      </w:r>
      <w:proofErr w:type="spellStart"/>
      <w:r w:rsidR="001F6712" w:rsidRPr="008A5315">
        <w:rPr>
          <w:i/>
        </w:rPr>
        <w:t>ProdG</w:t>
      </w:r>
      <w:r w:rsidR="001F6712" w:rsidRPr="008A5315">
        <w:rPr>
          <w:i/>
          <w:vertAlign w:val="subscript"/>
        </w:rPr>
        <w:t>it</w:t>
      </w:r>
      <w:proofErr w:type="spellEnd"/>
      <w:r w:rsidR="001F6712" w:rsidRPr="008A5315">
        <w:t>,</w:t>
      </w:r>
      <w:r w:rsidRPr="008A5315">
        <w:t xml:space="preserve"> </w:t>
      </w:r>
      <w:r w:rsidR="000A1B6A" w:rsidRPr="008A5315">
        <w:t xml:space="preserve">tende a diminuir </w:t>
      </w:r>
      <w:r w:rsidRPr="008A5315">
        <w:t>as chances de redução da pobreza nos municípios brasileiros.</w:t>
      </w:r>
      <w:r w:rsidR="000A1B6A" w:rsidRPr="008A5315">
        <w:t xml:space="preserve"> </w:t>
      </w:r>
      <w:r w:rsidR="00F64DB7" w:rsidRPr="008A5315">
        <w:t xml:space="preserve">De fato, </w:t>
      </w:r>
      <w:r w:rsidR="000A1B6A" w:rsidRPr="008A5315">
        <w:t xml:space="preserve">um resultado inesperado, afinal </w:t>
      </w:r>
      <w:r w:rsidR="00F64DB7" w:rsidRPr="008A5315">
        <w:t xml:space="preserve">é de se esperar que </w:t>
      </w:r>
      <w:r w:rsidR="0057100B" w:rsidRPr="008A5315">
        <w:t xml:space="preserve">maiores inversões em </w:t>
      </w:r>
      <w:r w:rsidR="00721A9B" w:rsidRPr="008A5315">
        <w:t xml:space="preserve">educação e saúde, ou </w:t>
      </w:r>
      <w:r w:rsidR="00CE220C" w:rsidRPr="008A5315">
        <w:t>capital humano como um todo</w:t>
      </w:r>
      <w:r w:rsidR="002D4DB1" w:rsidRPr="008A5315">
        <w:t>,</w:t>
      </w:r>
      <w:r w:rsidR="004F1DC5" w:rsidRPr="008A5315">
        <w:t xml:space="preserve"> </w:t>
      </w:r>
      <w:r w:rsidR="005F2754" w:rsidRPr="008A5315">
        <w:t>em detr</w:t>
      </w:r>
      <w:r w:rsidR="002D4DB1" w:rsidRPr="008A5315">
        <w:t>imento a outros tipos de gastos -</w:t>
      </w:r>
      <w:r w:rsidR="005F2754" w:rsidRPr="008A5315">
        <w:t xml:space="preserve"> como por exemplo, gastos com </w:t>
      </w:r>
      <w:r w:rsidR="004F1DC5" w:rsidRPr="008A5315">
        <w:t xml:space="preserve">despesas correntes </w:t>
      </w:r>
      <w:r w:rsidR="00CE220C" w:rsidRPr="008A5315">
        <w:t>–</w:t>
      </w:r>
      <w:r w:rsidR="004F1DC5" w:rsidRPr="008A5315">
        <w:t xml:space="preserve"> </w:t>
      </w:r>
      <w:r w:rsidR="002D4DB1" w:rsidRPr="008A5315">
        <w:t xml:space="preserve">promovam um aumento na produtividade do trabalho, elevando assim a renda e melhora na qualidade de vida dos indivíduos. </w:t>
      </w:r>
      <w:r w:rsidR="000A1B6A" w:rsidRPr="008A5315">
        <w:t xml:space="preserve">Entretanto, conforme exposto na Tabela 3, a elasticidade do IFDM em relação a produtividade dos gastos se mostra muito baixa, no valor de </w:t>
      </w:r>
      <w:r w:rsidR="009415BD" w:rsidRPr="008A5315">
        <w:t>-</w:t>
      </w:r>
      <w:r w:rsidR="000A1B6A" w:rsidRPr="008A5315">
        <w:t>0,</w:t>
      </w:r>
      <w:r w:rsidR="00876D88" w:rsidRPr="008A5315">
        <w:t>1176</w:t>
      </w:r>
      <w:r w:rsidR="000A1B6A" w:rsidRPr="008A5315">
        <w:t>%.</w:t>
      </w:r>
    </w:p>
    <w:p w14:paraId="257D8A53" w14:textId="0EAFB6B7" w:rsidR="005E4DE1" w:rsidRPr="008A5315" w:rsidRDefault="0045331A" w:rsidP="00DC54B7">
      <w:pPr>
        <w:spacing w:line="360" w:lineRule="auto"/>
        <w:jc w:val="both"/>
        <w:rPr>
          <w:i/>
        </w:rPr>
      </w:pPr>
      <w:r w:rsidRPr="008A5315">
        <w:tab/>
        <w:t>D</w:t>
      </w:r>
      <w:r w:rsidR="008E0CE6" w:rsidRPr="008A5315">
        <w:t>e</w:t>
      </w:r>
      <w:r w:rsidRPr="008A5315">
        <w:t xml:space="preserve"> m</w:t>
      </w:r>
      <w:r w:rsidR="008E0CE6" w:rsidRPr="008A5315">
        <w:t>odo contrário</w:t>
      </w:r>
      <w:r w:rsidRPr="008A5315">
        <w:t xml:space="preserve">, municípios com PIB </w:t>
      </w:r>
      <w:r w:rsidRPr="008A5315">
        <w:rPr>
          <w:i/>
        </w:rPr>
        <w:t>per capita</w:t>
      </w:r>
      <w:r w:rsidR="005E4DE1" w:rsidRPr="008A5315">
        <w:rPr>
          <w:i/>
        </w:rPr>
        <w:t xml:space="preserve"> (</w:t>
      </w:r>
      <w:proofErr w:type="spellStart"/>
      <w:r w:rsidR="005E4DE1" w:rsidRPr="008A5315">
        <w:rPr>
          <w:i/>
        </w:rPr>
        <w:t>PIBpc</w:t>
      </w:r>
      <w:r w:rsidR="00073259" w:rsidRPr="008A5315">
        <w:rPr>
          <w:i/>
          <w:vertAlign w:val="subscript"/>
        </w:rPr>
        <w:t>it</w:t>
      </w:r>
      <w:proofErr w:type="spellEnd"/>
      <w:r w:rsidR="005E4DE1" w:rsidRPr="008A5315">
        <w:rPr>
          <w:i/>
        </w:rPr>
        <w:t>)</w:t>
      </w:r>
      <w:r w:rsidRPr="008A5315">
        <w:t xml:space="preserve"> mais elevado tende a reduzir o nível de pobreza, tendo como referência o IFDM.</w:t>
      </w:r>
      <w:r w:rsidR="001A23CE" w:rsidRPr="008A5315">
        <w:t xml:space="preserve"> Conforme expõe a Tabela 3, a contribuição do PIB </w:t>
      </w:r>
      <w:r w:rsidR="001A23CE" w:rsidRPr="008A5315">
        <w:rPr>
          <w:i/>
          <w:iCs/>
        </w:rPr>
        <w:t>per capita</w:t>
      </w:r>
      <w:r w:rsidR="001A23CE" w:rsidRPr="008A5315">
        <w:t xml:space="preserve"> na redução da pobreza tende a ser na ordem de </w:t>
      </w:r>
      <w:r w:rsidR="005A7718" w:rsidRPr="008A5315">
        <w:t>0,</w:t>
      </w:r>
      <w:r w:rsidR="00876D88" w:rsidRPr="008A5315">
        <w:t>0536</w:t>
      </w:r>
      <w:r w:rsidR="001A23CE" w:rsidRPr="008A5315">
        <w:t xml:space="preserve">%. </w:t>
      </w:r>
      <w:r w:rsidRPr="008A5315">
        <w:t>Embora a influênc</w:t>
      </w:r>
      <w:r w:rsidR="005E4DE1" w:rsidRPr="008A5315">
        <w:t xml:space="preserve">ia positiva dessa variável na pobreza possa parecer </w:t>
      </w:r>
      <w:r w:rsidR="00876D88" w:rsidRPr="008A5315">
        <w:t>ó</w:t>
      </w:r>
      <w:r w:rsidR="005E4DE1" w:rsidRPr="008A5315">
        <w:t xml:space="preserve">bvia, pesquisas como Ribeiro </w:t>
      </w:r>
      <w:r w:rsidR="005E4DE1" w:rsidRPr="008A5315">
        <w:rPr>
          <w:i/>
        </w:rPr>
        <w:t>et al</w:t>
      </w:r>
      <w:r w:rsidR="005E4DE1" w:rsidRPr="008A5315">
        <w:t xml:space="preserve"> (2015) mostram que nem sempre o crescimento econômico e, por conseguinte, o PIB </w:t>
      </w:r>
      <w:r w:rsidR="005E4DE1" w:rsidRPr="008A5315">
        <w:rPr>
          <w:i/>
        </w:rPr>
        <w:t>per capita</w:t>
      </w:r>
      <w:r w:rsidR="005E4DE1" w:rsidRPr="008A5315">
        <w:t xml:space="preserve"> induzem </w:t>
      </w:r>
      <w:r w:rsidR="00416DD6" w:rsidRPr="008A5315">
        <w:t xml:space="preserve">de fato </w:t>
      </w:r>
      <w:r w:rsidR="005E4DE1" w:rsidRPr="008A5315">
        <w:t>a uma reduç</w:t>
      </w:r>
      <w:r w:rsidR="00FB4EDC" w:rsidRPr="008A5315">
        <w:t>ão n</w:t>
      </w:r>
      <w:r w:rsidR="005E4DE1" w:rsidRPr="008A5315">
        <w:t>a pobreza</w:t>
      </w:r>
      <w:r w:rsidR="00DD1DF5" w:rsidRPr="008A5315">
        <w:t>, dado o fato de</w:t>
      </w:r>
      <w:r w:rsidR="00416DD6" w:rsidRPr="008A5315">
        <w:t xml:space="preserve"> que esse crescimento pode vir acompanhado de um aumento na concentração de renda</w:t>
      </w:r>
      <w:r w:rsidR="00FB4EDC" w:rsidRPr="008A5315">
        <w:t>, materializando</w:t>
      </w:r>
      <w:r w:rsidR="005864BF" w:rsidRPr="008A5315">
        <w:t>-se</w:t>
      </w:r>
      <w:r w:rsidR="00FB4EDC" w:rsidRPr="008A5315">
        <w:t xml:space="preserve"> assim em um crescimento não pró-pobre</w:t>
      </w:r>
      <w:r w:rsidR="00542098" w:rsidRPr="008A5315">
        <w:t xml:space="preserve"> com base na definição apresentada por</w:t>
      </w:r>
      <w:r w:rsidR="00DD1DF5" w:rsidRPr="008A5315">
        <w:t xml:space="preserve"> </w:t>
      </w:r>
      <w:proofErr w:type="spellStart"/>
      <w:r w:rsidR="00DD1DF5" w:rsidRPr="008A5315">
        <w:t>Son</w:t>
      </w:r>
      <w:proofErr w:type="spellEnd"/>
      <w:r w:rsidR="00DD1DF5" w:rsidRPr="008A5315">
        <w:t xml:space="preserve"> (2004)</w:t>
      </w:r>
      <w:r w:rsidR="00416DD6" w:rsidRPr="008A5315">
        <w:t>.</w:t>
      </w:r>
    </w:p>
    <w:p w14:paraId="5C304BEC" w14:textId="15341DC2" w:rsidR="005E4DE1" w:rsidRPr="008A5315" w:rsidRDefault="005E4DE1" w:rsidP="00DC54B7">
      <w:pPr>
        <w:spacing w:line="360" w:lineRule="auto"/>
        <w:jc w:val="both"/>
      </w:pPr>
      <w:r w:rsidRPr="008A5315">
        <w:lastRenderedPageBreak/>
        <w:tab/>
      </w:r>
      <w:r w:rsidR="001C52A8" w:rsidRPr="008A5315">
        <w:t xml:space="preserve">Em relação a </w:t>
      </w:r>
      <w:r w:rsidRPr="008A5315">
        <w:t xml:space="preserve">variável explicativa </w:t>
      </w:r>
      <w:r w:rsidR="001C52A8" w:rsidRPr="008A5315">
        <w:t xml:space="preserve">tamanho da população, </w:t>
      </w:r>
      <w:proofErr w:type="spellStart"/>
      <w:r w:rsidR="001C52A8" w:rsidRPr="008A5315">
        <w:rPr>
          <w:i/>
        </w:rPr>
        <w:t>Pop</w:t>
      </w:r>
      <w:r w:rsidR="001C52A8" w:rsidRPr="008A5315">
        <w:rPr>
          <w:i/>
          <w:vertAlign w:val="subscript"/>
        </w:rPr>
        <w:t>it</w:t>
      </w:r>
      <w:proofErr w:type="spellEnd"/>
      <w:r w:rsidR="001C52A8" w:rsidRPr="008A5315">
        <w:t xml:space="preserve">., essa </w:t>
      </w:r>
      <w:r w:rsidRPr="008A5315">
        <w:t xml:space="preserve">que parece contribuir </w:t>
      </w:r>
      <w:r w:rsidR="001C52A8" w:rsidRPr="008A5315">
        <w:t>negativamente</w:t>
      </w:r>
      <w:r w:rsidRPr="008A5315">
        <w:t xml:space="preserve"> para a redução </w:t>
      </w:r>
      <w:r w:rsidR="001C52A8" w:rsidRPr="008A5315">
        <w:t>d</w:t>
      </w:r>
      <w:r w:rsidRPr="008A5315">
        <w:t xml:space="preserve">a pobreza. Mantendo tudo o mais constante, a elasticidade revela que </w:t>
      </w:r>
      <w:r w:rsidR="001C52A8" w:rsidRPr="008A5315">
        <w:t>à medida que aumenta o</w:t>
      </w:r>
      <w:r w:rsidRPr="008A5315">
        <w:t xml:space="preserve"> número de habitantes do município,</w:t>
      </w:r>
      <w:r w:rsidR="001C52A8" w:rsidRPr="008A5315">
        <w:t xml:space="preserve"> o</w:t>
      </w:r>
      <w:r w:rsidRPr="008A5315">
        <w:t xml:space="preserve"> valor do IFDM</w:t>
      </w:r>
      <w:r w:rsidR="001C52A8" w:rsidRPr="008A5315">
        <w:t xml:space="preserve"> cai em cerca de </w:t>
      </w:r>
      <w:r w:rsidR="00064E87" w:rsidRPr="008A5315">
        <w:t>0,</w:t>
      </w:r>
      <w:r w:rsidR="00876D88" w:rsidRPr="008A5315">
        <w:t>0419</w:t>
      </w:r>
      <w:r w:rsidR="001C52A8" w:rsidRPr="008A5315">
        <w:t>%</w:t>
      </w:r>
      <w:r w:rsidRPr="008A5315">
        <w:t xml:space="preserve">. </w:t>
      </w:r>
      <w:r w:rsidR="008E5A5D" w:rsidRPr="008A5315">
        <w:t>E</w:t>
      </w:r>
      <w:r w:rsidR="001A23CE" w:rsidRPr="008A5315">
        <w:t>sse resultado, contudo, diverge</w:t>
      </w:r>
      <w:r w:rsidR="008E5A5D" w:rsidRPr="008A5315">
        <w:t xml:space="preserve"> </w:t>
      </w:r>
      <w:r w:rsidR="001C52A8" w:rsidRPr="008A5315">
        <w:t>d</w:t>
      </w:r>
      <w:r w:rsidR="008E5A5D" w:rsidRPr="008A5315">
        <w:t>a pesquisa do IBGE (2011)</w:t>
      </w:r>
      <w:r w:rsidR="003B5CF5" w:rsidRPr="008A5315">
        <w:t xml:space="preserve"> realizada em 2010</w:t>
      </w:r>
      <w:r w:rsidR="008E5A5D" w:rsidRPr="008A5315">
        <w:t xml:space="preserve"> ao revelar que a incidência da pobreza é maior em municípios de</w:t>
      </w:r>
      <w:r w:rsidR="0034178C" w:rsidRPr="008A5315">
        <w:t xml:space="preserve"> pequeno e</w:t>
      </w:r>
      <w:r w:rsidR="008E5A5D" w:rsidRPr="008A5315">
        <w:t xml:space="preserve"> médio porte (entre 10 a 50 mil habitantes). </w:t>
      </w:r>
    </w:p>
    <w:p w14:paraId="43DD784C" w14:textId="6BCC0223" w:rsidR="00F217ED" w:rsidRPr="008A5315" w:rsidRDefault="00F64DB7" w:rsidP="00DC54B7">
      <w:pPr>
        <w:spacing w:line="360" w:lineRule="auto"/>
        <w:jc w:val="both"/>
      </w:pPr>
      <w:r w:rsidRPr="008A5315">
        <w:tab/>
        <w:t xml:space="preserve">Por outro lado, a população idosa, </w:t>
      </w:r>
      <w:proofErr w:type="spellStart"/>
      <w:r w:rsidR="001F6712" w:rsidRPr="008A5315">
        <w:rPr>
          <w:i/>
        </w:rPr>
        <w:t>PopI</w:t>
      </w:r>
      <w:r w:rsidR="00073259" w:rsidRPr="008A5315">
        <w:rPr>
          <w:i/>
          <w:vertAlign w:val="subscript"/>
        </w:rPr>
        <w:t>it</w:t>
      </w:r>
      <w:proofErr w:type="spellEnd"/>
      <w:r w:rsidRPr="008A5315">
        <w:rPr>
          <w:i/>
        </w:rPr>
        <w:t xml:space="preserve">, </w:t>
      </w:r>
      <w:r w:rsidRPr="008A5315">
        <w:t>tende a corroborar para um</w:t>
      </w:r>
      <w:r w:rsidR="00424094" w:rsidRPr="008A5315">
        <w:t xml:space="preserve"> aumento</w:t>
      </w:r>
      <w:r w:rsidRPr="008A5315">
        <w:t xml:space="preserve"> no IFDM. Ou seja, quanto maior o número de pessoas no município com idade acima de </w:t>
      </w:r>
      <w:r w:rsidR="00CD683B" w:rsidRPr="008A5315">
        <w:t>60 anos</w:t>
      </w:r>
      <w:r w:rsidR="00F217ED" w:rsidRPr="008A5315">
        <w:t xml:space="preserve"> m</w:t>
      </w:r>
      <w:r w:rsidR="00424094" w:rsidRPr="008A5315">
        <w:t>aior</w:t>
      </w:r>
      <w:r w:rsidR="00F217ED" w:rsidRPr="008A5315">
        <w:t xml:space="preserve"> a probabilidade de </w:t>
      </w:r>
      <w:r w:rsidR="002C12CB" w:rsidRPr="008A5315">
        <w:t>haver um</w:t>
      </w:r>
      <w:r w:rsidR="00F217ED" w:rsidRPr="008A5315">
        <w:t xml:space="preserve"> IFDM </w:t>
      </w:r>
      <w:r w:rsidR="002C12CB" w:rsidRPr="008A5315">
        <w:t xml:space="preserve">elevado </w:t>
      </w:r>
      <w:r w:rsidR="00F217ED" w:rsidRPr="008A5315">
        <w:t>e, portanto, m</w:t>
      </w:r>
      <w:r w:rsidR="00424094" w:rsidRPr="008A5315">
        <w:t>ai</w:t>
      </w:r>
      <w:r w:rsidR="00F217ED" w:rsidRPr="008A5315">
        <w:t xml:space="preserve">ores as chances de redução </w:t>
      </w:r>
      <w:r w:rsidR="00B33C10" w:rsidRPr="008A5315">
        <w:t>no nível de pobreza.</w:t>
      </w:r>
      <w:r w:rsidR="00424094" w:rsidRPr="008A5315">
        <w:t xml:space="preserve"> Sendo esse aumento na probabilidade na ordem de </w:t>
      </w:r>
      <w:r w:rsidR="002C12CB" w:rsidRPr="008A5315">
        <w:t>0,</w:t>
      </w:r>
      <w:r w:rsidR="00876D88" w:rsidRPr="008A5315">
        <w:t>0580</w:t>
      </w:r>
      <w:r w:rsidR="00424094" w:rsidRPr="008A5315">
        <w:t>%</w:t>
      </w:r>
      <w:r w:rsidR="002C12CB" w:rsidRPr="008A5315">
        <w:t>, aproximadamente</w:t>
      </w:r>
      <w:r w:rsidR="00424094" w:rsidRPr="008A5315">
        <w:t>.</w:t>
      </w:r>
    </w:p>
    <w:p w14:paraId="16722E56" w14:textId="7197136F" w:rsidR="008E0CE6" w:rsidRPr="008A5315" w:rsidRDefault="00542098" w:rsidP="00DC54B7">
      <w:pPr>
        <w:spacing w:line="360" w:lineRule="auto"/>
        <w:jc w:val="both"/>
      </w:pPr>
      <w:r w:rsidRPr="008A5315">
        <w:tab/>
        <w:t xml:space="preserve">Por fim, </w:t>
      </w:r>
      <w:r w:rsidR="00261547" w:rsidRPr="008A5315">
        <w:t xml:space="preserve">as </w:t>
      </w:r>
      <w:proofErr w:type="spellStart"/>
      <w:r w:rsidR="00261547" w:rsidRPr="008A5315">
        <w:rPr>
          <w:i/>
        </w:rPr>
        <w:t>dummies</w:t>
      </w:r>
      <w:proofErr w:type="spellEnd"/>
      <w:r w:rsidR="005827F4" w:rsidRPr="008A5315">
        <w:t xml:space="preserve"> referentes aos anos</w:t>
      </w:r>
      <w:r w:rsidR="005457FF" w:rsidRPr="008A5315">
        <w:t xml:space="preserve"> -</w:t>
      </w:r>
      <w:r w:rsidR="005827F4" w:rsidRPr="008A5315">
        <w:t xml:space="preserve"> incluídas a</w:t>
      </w:r>
      <w:r w:rsidR="008F4C58" w:rsidRPr="008A5315">
        <w:t xml:space="preserve"> </w:t>
      </w:r>
      <w:r w:rsidR="005827F4" w:rsidRPr="008A5315">
        <w:t>fim de verificar o quão o fator tempo influi na din</w:t>
      </w:r>
      <w:r w:rsidR="004D408C" w:rsidRPr="008A5315">
        <w:t>âmica da pobreza</w:t>
      </w:r>
      <w:r w:rsidR="005457FF" w:rsidRPr="008A5315">
        <w:t xml:space="preserve"> -</w:t>
      </w:r>
      <w:r w:rsidR="004D408C" w:rsidRPr="008A5315">
        <w:t xml:space="preserve"> revelaram que</w:t>
      </w:r>
      <w:r w:rsidR="00424094" w:rsidRPr="008A5315">
        <w:t xml:space="preserve">, </w:t>
      </w:r>
      <w:r w:rsidR="00A323A1" w:rsidRPr="008A5315">
        <w:t>com</w:t>
      </w:r>
      <w:r w:rsidR="00424094" w:rsidRPr="008A5315">
        <w:t xml:space="preserve"> exceção de </w:t>
      </w:r>
      <w:r w:rsidR="005457FF" w:rsidRPr="008A5315">
        <w:t>2009</w:t>
      </w:r>
      <w:r w:rsidR="00A323A1" w:rsidRPr="008A5315">
        <w:t xml:space="preserve"> </w:t>
      </w:r>
      <w:r w:rsidR="00876D88" w:rsidRPr="008A5315">
        <w:t>a</w:t>
      </w:r>
      <w:r w:rsidR="00A323A1" w:rsidRPr="008A5315">
        <w:t xml:space="preserve"> 201</w:t>
      </w:r>
      <w:r w:rsidR="00876D88" w:rsidRPr="008A5315">
        <w:t>1</w:t>
      </w:r>
      <w:r w:rsidR="00346D98" w:rsidRPr="008A5315">
        <w:t>,</w:t>
      </w:r>
      <w:r w:rsidR="00A323A1" w:rsidRPr="008A5315">
        <w:t xml:space="preserve"> </w:t>
      </w:r>
      <w:r w:rsidR="00346D98" w:rsidRPr="008A5315">
        <w:t>incluindo</w:t>
      </w:r>
      <w:r w:rsidR="00A323A1" w:rsidRPr="008A5315">
        <w:t xml:space="preserve"> aqueles que não apresentaram significância estatística</w:t>
      </w:r>
      <w:r w:rsidR="005457FF" w:rsidRPr="008A5315">
        <w:t>,</w:t>
      </w:r>
      <w:r w:rsidR="004D408C" w:rsidRPr="008A5315">
        <w:t xml:space="preserve"> os anos </w:t>
      </w:r>
      <w:r w:rsidR="00876D88" w:rsidRPr="008A5315">
        <w:t xml:space="preserve">mais recentes </w:t>
      </w:r>
      <w:r w:rsidR="008F4C58" w:rsidRPr="008A5315">
        <w:t>têm</w:t>
      </w:r>
      <w:r w:rsidR="004D408C" w:rsidRPr="008A5315">
        <w:t xml:space="preserve"> impactado </w:t>
      </w:r>
      <w:r w:rsidR="00424094" w:rsidRPr="008A5315">
        <w:t xml:space="preserve">negativamente </w:t>
      </w:r>
      <w:r w:rsidR="004D408C" w:rsidRPr="008A5315">
        <w:t>a evolução do IFDM. Contudo, é int</w:t>
      </w:r>
      <w:r w:rsidR="002D076C" w:rsidRPr="008A5315">
        <w:t xml:space="preserve">eressante observar pela </w:t>
      </w:r>
      <w:r w:rsidR="002C12CB" w:rsidRPr="008A5315">
        <w:t>T</w:t>
      </w:r>
      <w:r w:rsidR="001A23CE" w:rsidRPr="008A5315">
        <w:t xml:space="preserve">abela </w:t>
      </w:r>
      <w:r w:rsidR="00876D88" w:rsidRPr="008A5315">
        <w:t xml:space="preserve">3 </w:t>
      </w:r>
      <w:r w:rsidR="004D408C" w:rsidRPr="008A5315">
        <w:t xml:space="preserve">que essa influência </w:t>
      </w:r>
      <w:r w:rsidR="00A323A1" w:rsidRPr="008A5315">
        <w:t>negativa</w:t>
      </w:r>
      <w:r w:rsidR="004D408C" w:rsidRPr="008A5315">
        <w:t xml:space="preserve"> do tempo na </w:t>
      </w:r>
      <w:r w:rsidR="0093563C" w:rsidRPr="008A5315">
        <w:t xml:space="preserve">redução da </w:t>
      </w:r>
      <w:r w:rsidR="004D408C" w:rsidRPr="008A5315">
        <w:t xml:space="preserve">pobreza começa a ser </w:t>
      </w:r>
      <w:r w:rsidR="00A323A1" w:rsidRPr="008A5315">
        <w:t>mais evidente</w:t>
      </w:r>
      <w:r w:rsidR="004D408C" w:rsidRPr="008A5315">
        <w:t xml:space="preserve"> </w:t>
      </w:r>
      <w:r w:rsidR="009F02C9" w:rsidRPr="008A5315">
        <w:t xml:space="preserve">nos </w:t>
      </w:r>
      <w:r w:rsidR="0093563C" w:rsidRPr="008A5315">
        <w:t>ano</w:t>
      </w:r>
      <w:r w:rsidR="009F02C9" w:rsidRPr="008A5315">
        <w:t>s</w:t>
      </w:r>
      <w:r w:rsidR="0093563C" w:rsidRPr="008A5315">
        <w:t xml:space="preserve"> em que se iniciou a crise econômica no Brasil</w:t>
      </w:r>
      <w:r w:rsidR="009F02C9" w:rsidRPr="008A5315">
        <w:t xml:space="preserve">, em torno de </w:t>
      </w:r>
      <w:r w:rsidR="002C12CB" w:rsidRPr="008A5315">
        <w:t>0,0</w:t>
      </w:r>
      <w:r w:rsidR="00876D88" w:rsidRPr="008A5315">
        <w:t>074</w:t>
      </w:r>
      <w:r w:rsidR="009F02C9" w:rsidRPr="008A5315">
        <w:t xml:space="preserve">% para 2014 e </w:t>
      </w:r>
      <w:r w:rsidR="002C12CB" w:rsidRPr="008A5315">
        <w:t>0,0</w:t>
      </w:r>
      <w:r w:rsidR="00876D88" w:rsidRPr="008A5315">
        <w:t>251</w:t>
      </w:r>
      <w:r w:rsidR="009F02C9" w:rsidRPr="008A5315">
        <w:t>% para o ano seguinte.</w:t>
      </w:r>
    </w:p>
    <w:p w14:paraId="2A079BB2" w14:textId="77777777" w:rsidR="00C13919" w:rsidRPr="008A5315" w:rsidRDefault="00C13919" w:rsidP="00DC2FC8">
      <w:pPr>
        <w:jc w:val="both"/>
      </w:pPr>
    </w:p>
    <w:p w14:paraId="1F2A9B33" w14:textId="0338D363" w:rsidR="00D7271E" w:rsidRPr="008A5315" w:rsidRDefault="002D076C" w:rsidP="00DC2FC8">
      <w:pPr>
        <w:jc w:val="both"/>
      </w:pPr>
      <w:r w:rsidRPr="008A5315">
        <w:t>Tabela 3</w:t>
      </w:r>
      <w:r w:rsidR="00D7271E" w:rsidRPr="008A5315">
        <w:t>: Regressões dos Dados em Painel para o Indicador de Pobreza IFDM nos Municípios Brasileiros</w:t>
      </w:r>
      <w:r w:rsidR="00895334" w:rsidRPr="008A5315">
        <w:t>.</w:t>
      </w:r>
    </w:p>
    <w:tbl>
      <w:tblPr>
        <w:tblW w:w="5000" w:type="pct"/>
        <w:tblCellMar>
          <w:left w:w="70" w:type="dxa"/>
          <w:right w:w="70" w:type="dxa"/>
        </w:tblCellMar>
        <w:tblLook w:val="04A0" w:firstRow="1" w:lastRow="0" w:firstColumn="1" w:lastColumn="0" w:noHBand="0" w:noVBand="1"/>
      </w:tblPr>
      <w:tblGrid>
        <w:gridCol w:w="1763"/>
        <w:gridCol w:w="1362"/>
        <w:gridCol w:w="1444"/>
        <w:gridCol w:w="1362"/>
        <w:gridCol w:w="1362"/>
        <w:gridCol w:w="1778"/>
      </w:tblGrid>
      <w:tr w:rsidR="00132476" w:rsidRPr="008A5315" w14:paraId="12063E1E" w14:textId="77777777" w:rsidTr="00C5662B">
        <w:trPr>
          <w:trHeight w:val="320"/>
        </w:trPr>
        <w:tc>
          <w:tcPr>
            <w:tcW w:w="971" w:type="pct"/>
            <w:tcBorders>
              <w:top w:val="single" w:sz="4" w:space="0" w:color="auto"/>
              <w:left w:val="nil"/>
              <w:bottom w:val="single" w:sz="4" w:space="0" w:color="auto"/>
              <w:right w:val="nil"/>
            </w:tcBorders>
            <w:shd w:val="clear" w:color="auto" w:fill="auto"/>
            <w:noWrap/>
            <w:vAlign w:val="bottom"/>
            <w:hideMark/>
          </w:tcPr>
          <w:p w14:paraId="4CF97139" w14:textId="5C8960D0" w:rsidR="00FB666F" w:rsidRPr="008A5315" w:rsidRDefault="00FB666F">
            <w:r w:rsidRPr="008A5315">
              <w:t>VARIÁVEIS</w:t>
            </w:r>
          </w:p>
        </w:tc>
        <w:tc>
          <w:tcPr>
            <w:tcW w:w="751" w:type="pct"/>
            <w:tcBorders>
              <w:top w:val="single" w:sz="4" w:space="0" w:color="auto"/>
              <w:left w:val="nil"/>
              <w:bottom w:val="single" w:sz="4" w:space="0" w:color="auto"/>
              <w:right w:val="nil"/>
            </w:tcBorders>
            <w:shd w:val="clear" w:color="auto" w:fill="auto"/>
            <w:noWrap/>
            <w:vAlign w:val="bottom"/>
            <w:hideMark/>
          </w:tcPr>
          <w:p w14:paraId="187964BC" w14:textId="3EE6F8BE" w:rsidR="00FB666F" w:rsidRPr="008A5315" w:rsidRDefault="002F135C" w:rsidP="001A7108">
            <w:r w:rsidRPr="008A5315">
              <w:t xml:space="preserve">    </w:t>
            </w:r>
            <w:r w:rsidR="00FB666F" w:rsidRPr="008A5315">
              <w:t>EF</w:t>
            </w:r>
          </w:p>
        </w:tc>
        <w:tc>
          <w:tcPr>
            <w:tcW w:w="796" w:type="pct"/>
            <w:tcBorders>
              <w:top w:val="single" w:sz="4" w:space="0" w:color="auto"/>
              <w:left w:val="nil"/>
              <w:bottom w:val="single" w:sz="4" w:space="0" w:color="auto"/>
              <w:right w:val="nil"/>
            </w:tcBorders>
            <w:shd w:val="clear" w:color="auto" w:fill="auto"/>
            <w:noWrap/>
            <w:vAlign w:val="bottom"/>
            <w:hideMark/>
          </w:tcPr>
          <w:p w14:paraId="041A4FA6" w14:textId="77777777" w:rsidR="00FB666F" w:rsidRPr="008A5315" w:rsidRDefault="00FB666F" w:rsidP="001A7108">
            <w:r w:rsidRPr="008A5315">
              <w:t>XTSCC_FE</w:t>
            </w:r>
          </w:p>
        </w:tc>
        <w:tc>
          <w:tcPr>
            <w:tcW w:w="751" w:type="pct"/>
            <w:tcBorders>
              <w:top w:val="single" w:sz="4" w:space="0" w:color="auto"/>
              <w:left w:val="nil"/>
              <w:bottom w:val="single" w:sz="4" w:space="0" w:color="auto"/>
              <w:right w:val="nil"/>
            </w:tcBorders>
            <w:shd w:val="clear" w:color="auto" w:fill="auto"/>
            <w:noWrap/>
            <w:vAlign w:val="bottom"/>
            <w:hideMark/>
          </w:tcPr>
          <w:p w14:paraId="006E547F" w14:textId="588AA69E" w:rsidR="00FB666F" w:rsidRPr="008A5315" w:rsidRDefault="002F135C" w:rsidP="001A7108">
            <w:r w:rsidRPr="008A5315">
              <w:t xml:space="preserve">    </w:t>
            </w:r>
            <w:r w:rsidR="00FB666F" w:rsidRPr="008A5315">
              <w:t>EA</w:t>
            </w:r>
          </w:p>
        </w:tc>
        <w:tc>
          <w:tcPr>
            <w:tcW w:w="751" w:type="pct"/>
            <w:tcBorders>
              <w:top w:val="single" w:sz="4" w:space="0" w:color="auto"/>
              <w:left w:val="nil"/>
              <w:bottom w:val="single" w:sz="4" w:space="0" w:color="auto"/>
              <w:right w:val="nil"/>
            </w:tcBorders>
            <w:shd w:val="clear" w:color="auto" w:fill="auto"/>
            <w:noWrap/>
            <w:vAlign w:val="bottom"/>
            <w:hideMark/>
          </w:tcPr>
          <w:p w14:paraId="23AC40AA" w14:textId="77777777" w:rsidR="00FB666F" w:rsidRPr="008A5315" w:rsidRDefault="00FB666F" w:rsidP="001A7108">
            <w:r w:rsidRPr="008A5315">
              <w:t>XTGLS</w:t>
            </w:r>
          </w:p>
        </w:tc>
        <w:tc>
          <w:tcPr>
            <w:tcW w:w="981" w:type="pct"/>
            <w:tcBorders>
              <w:top w:val="single" w:sz="4" w:space="0" w:color="auto"/>
              <w:left w:val="nil"/>
              <w:bottom w:val="single" w:sz="4" w:space="0" w:color="auto"/>
              <w:right w:val="nil"/>
            </w:tcBorders>
            <w:shd w:val="clear" w:color="auto" w:fill="auto"/>
            <w:noWrap/>
            <w:vAlign w:val="bottom"/>
            <w:hideMark/>
          </w:tcPr>
          <w:p w14:paraId="223979E6" w14:textId="0C252DA5" w:rsidR="00FB666F" w:rsidRPr="008A5315" w:rsidRDefault="00FB666F" w:rsidP="001A7108">
            <w:r w:rsidRPr="008A5315">
              <w:t>XTIVREG_RE</w:t>
            </w:r>
          </w:p>
        </w:tc>
      </w:tr>
      <w:tr w:rsidR="00132476" w:rsidRPr="008A5315" w14:paraId="7D6A6A9F" w14:textId="77777777" w:rsidTr="00EA1772">
        <w:trPr>
          <w:trHeight w:val="360"/>
        </w:trPr>
        <w:tc>
          <w:tcPr>
            <w:tcW w:w="971" w:type="pct"/>
            <w:tcBorders>
              <w:top w:val="single" w:sz="4" w:space="0" w:color="auto"/>
              <w:left w:val="nil"/>
              <w:bottom w:val="nil"/>
              <w:right w:val="nil"/>
            </w:tcBorders>
            <w:shd w:val="clear" w:color="auto" w:fill="auto"/>
            <w:noWrap/>
            <w:vAlign w:val="center"/>
            <w:hideMark/>
          </w:tcPr>
          <w:p w14:paraId="1489C0A8" w14:textId="77777777" w:rsidR="00FB666F" w:rsidRPr="008A5315" w:rsidRDefault="00FB666F">
            <w:pPr>
              <w:rPr>
                <w:i/>
                <w:iCs/>
              </w:rPr>
            </w:pPr>
            <w:proofErr w:type="spellStart"/>
            <w:r w:rsidRPr="008A5315">
              <w:rPr>
                <w:i/>
                <w:iCs/>
              </w:rPr>
              <w:t>LnCorrup</w:t>
            </w:r>
            <w:r w:rsidRPr="008A5315">
              <w:rPr>
                <w:i/>
                <w:iCs/>
                <w:vertAlign w:val="subscript"/>
              </w:rPr>
              <w:t>it</w:t>
            </w:r>
            <w:proofErr w:type="spellEnd"/>
          </w:p>
        </w:tc>
        <w:tc>
          <w:tcPr>
            <w:tcW w:w="751" w:type="pct"/>
            <w:tcBorders>
              <w:top w:val="single" w:sz="4" w:space="0" w:color="auto"/>
              <w:left w:val="nil"/>
              <w:bottom w:val="nil"/>
              <w:right w:val="nil"/>
            </w:tcBorders>
            <w:shd w:val="clear" w:color="auto" w:fill="auto"/>
            <w:noWrap/>
            <w:vAlign w:val="center"/>
            <w:hideMark/>
          </w:tcPr>
          <w:p w14:paraId="03B0AE43" w14:textId="641A1518" w:rsidR="00FB666F" w:rsidRPr="008A5315" w:rsidRDefault="00FB666F" w:rsidP="00EA1772">
            <w:r w:rsidRPr="008A5315">
              <w:t>-0</w:t>
            </w:r>
            <w:r w:rsidR="00CA3167" w:rsidRPr="008A5315">
              <w:t>,</w:t>
            </w:r>
            <w:r w:rsidRPr="008A5315">
              <w:t>0004</w:t>
            </w:r>
          </w:p>
        </w:tc>
        <w:tc>
          <w:tcPr>
            <w:tcW w:w="796" w:type="pct"/>
            <w:tcBorders>
              <w:top w:val="single" w:sz="4" w:space="0" w:color="auto"/>
              <w:left w:val="nil"/>
              <w:bottom w:val="nil"/>
              <w:right w:val="nil"/>
            </w:tcBorders>
            <w:shd w:val="clear" w:color="auto" w:fill="auto"/>
            <w:noWrap/>
            <w:vAlign w:val="center"/>
            <w:hideMark/>
          </w:tcPr>
          <w:p w14:paraId="2C19E52B" w14:textId="3DE15E6D" w:rsidR="00FB666F" w:rsidRPr="008A5315" w:rsidRDefault="002F135C" w:rsidP="00EA1772">
            <w:r w:rsidRPr="008A5315">
              <w:t xml:space="preserve"> </w:t>
            </w:r>
            <w:r w:rsidR="00FB666F" w:rsidRPr="008A5315">
              <w:t>-0</w:t>
            </w:r>
            <w:r w:rsidR="00CA3167" w:rsidRPr="008A5315">
              <w:t>,</w:t>
            </w:r>
            <w:r w:rsidR="00FB666F" w:rsidRPr="008A5315">
              <w:t>0004**</w:t>
            </w:r>
          </w:p>
        </w:tc>
        <w:tc>
          <w:tcPr>
            <w:tcW w:w="751" w:type="pct"/>
            <w:tcBorders>
              <w:top w:val="single" w:sz="4" w:space="0" w:color="auto"/>
              <w:left w:val="nil"/>
              <w:bottom w:val="nil"/>
              <w:right w:val="nil"/>
            </w:tcBorders>
            <w:shd w:val="clear" w:color="auto" w:fill="auto"/>
            <w:noWrap/>
            <w:vAlign w:val="center"/>
            <w:hideMark/>
          </w:tcPr>
          <w:p w14:paraId="787973E1" w14:textId="70909972" w:rsidR="00FB666F" w:rsidRPr="008A5315" w:rsidRDefault="00FB666F" w:rsidP="00EA1772">
            <w:r w:rsidRPr="008A5315">
              <w:t>-0</w:t>
            </w:r>
            <w:r w:rsidR="00CA3167" w:rsidRPr="008A5315">
              <w:t>,</w:t>
            </w:r>
            <w:r w:rsidRPr="008A5315">
              <w:t>0006</w:t>
            </w:r>
          </w:p>
        </w:tc>
        <w:tc>
          <w:tcPr>
            <w:tcW w:w="751" w:type="pct"/>
            <w:tcBorders>
              <w:top w:val="single" w:sz="4" w:space="0" w:color="auto"/>
              <w:left w:val="nil"/>
              <w:bottom w:val="nil"/>
              <w:right w:val="nil"/>
            </w:tcBorders>
            <w:shd w:val="clear" w:color="auto" w:fill="auto"/>
            <w:noWrap/>
            <w:vAlign w:val="center"/>
            <w:hideMark/>
          </w:tcPr>
          <w:p w14:paraId="665F6B58" w14:textId="187C538C" w:rsidR="00FB666F" w:rsidRPr="008A5315" w:rsidRDefault="00FB666F" w:rsidP="00EA1772">
            <w:r w:rsidRPr="008A5315">
              <w:t>0</w:t>
            </w:r>
            <w:r w:rsidR="00A66940" w:rsidRPr="008A5315">
              <w:t>,</w:t>
            </w:r>
            <w:r w:rsidRPr="008A5315">
              <w:t>0014***</w:t>
            </w:r>
          </w:p>
        </w:tc>
        <w:tc>
          <w:tcPr>
            <w:tcW w:w="981" w:type="pct"/>
            <w:tcBorders>
              <w:top w:val="single" w:sz="4" w:space="0" w:color="auto"/>
              <w:left w:val="nil"/>
              <w:bottom w:val="nil"/>
              <w:right w:val="nil"/>
            </w:tcBorders>
            <w:shd w:val="clear" w:color="auto" w:fill="auto"/>
            <w:noWrap/>
            <w:vAlign w:val="center"/>
            <w:hideMark/>
          </w:tcPr>
          <w:p w14:paraId="75A60713" w14:textId="135D5C66" w:rsidR="00FB666F" w:rsidRPr="008A5315" w:rsidRDefault="002F135C" w:rsidP="00EA1772">
            <w:r w:rsidRPr="008A5315">
              <w:t xml:space="preserve">  </w:t>
            </w:r>
            <w:r w:rsidR="00FB666F" w:rsidRPr="008A5315">
              <w:t>-0</w:t>
            </w:r>
            <w:r w:rsidR="00A66940" w:rsidRPr="008A5315">
              <w:t>,</w:t>
            </w:r>
            <w:r w:rsidR="00FB666F" w:rsidRPr="008A5315">
              <w:t>0062***</w:t>
            </w:r>
          </w:p>
        </w:tc>
      </w:tr>
      <w:tr w:rsidR="00132476" w:rsidRPr="008A5315" w14:paraId="20931784" w14:textId="77777777" w:rsidTr="00EA1772">
        <w:trPr>
          <w:trHeight w:val="360"/>
        </w:trPr>
        <w:tc>
          <w:tcPr>
            <w:tcW w:w="971" w:type="pct"/>
            <w:tcBorders>
              <w:top w:val="nil"/>
              <w:left w:val="nil"/>
              <w:bottom w:val="nil"/>
              <w:right w:val="nil"/>
            </w:tcBorders>
            <w:shd w:val="clear" w:color="auto" w:fill="auto"/>
            <w:noWrap/>
            <w:vAlign w:val="center"/>
            <w:hideMark/>
          </w:tcPr>
          <w:p w14:paraId="76894660" w14:textId="77777777" w:rsidR="00FB666F" w:rsidRPr="008A5315" w:rsidRDefault="00FB666F">
            <w:pPr>
              <w:rPr>
                <w:i/>
                <w:iCs/>
              </w:rPr>
            </w:pPr>
            <w:proofErr w:type="spellStart"/>
            <w:r w:rsidRPr="008A5315">
              <w:rPr>
                <w:i/>
                <w:iCs/>
              </w:rPr>
              <w:t>LnTamGov</w:t>
            </w:r>
            <w:r w:rsidRPr="008A5315">
              <w:rPr>
                <w:i/>
                <w:iCs/>
                <w:vertAlign w:val="subscript"/>
              </w:rPr>
              <w:t>it</w:t>
            </w:r>
            <w:proofErr w:type="spellEnd"/>
          </w:p>
        </w:tc>
        <w:tc>
          <w:tcPr>
            <w:tcW w:w="751" w:type="pct"/>
            <w:tcBorders>
              <w:top w:val="nil"/>
              <w:left w:val="nil"/>
              <w:bottom w:val="nil"/>
              <w:right w:val="nil"/>
            </w:tcBorders>
            <w:shd w:val="clear" w:color="auto" w:fill="auto"/>
            <w:noWrap/>
            <w:vAlign w:val="center"/>
            <w:hideMark/>
          </w:tcPr>
          <w:p w14:paraId="0B5DD161" w14:textId="3EF3FC70" w:rsidR="00FB666F" w:rsidRPr="008A5315" w:rsidRDefault="00FB666F" w:rsidP="00EA1772">
            <w:r w:rsidRPr="008A5315">
              <w:t>-0</w:t>
            </w:r>
            <w:r w:rsidR="00A66940" w:rsidRPr="008A5315">
              <w:t>,</w:t>
            </w:r>
            <w:r w:rsidRPr="008A5315">
              <w:t>0034</w:t>
            </w:r>
          </w:p>
        </w:tc>
        <w:tc>
          <w:tcPr>
            <w:tcW w:w="796" w:type="pct"/>
            <w:tcBorders>
              <w:top w:val="nil"/>
              <w:left w:val="nil"/>
              <w:bottom w:val="nil"/>
              <w:right w:val="nil"/>
            </w:tcBorders>
            <w:shd w:val="clear" w:color="auto" w:fill="auto"/>
            <w:noWrap/>
            <w:vAlign w:val="center"/>
            <w:hideMark/>
          </w:tcPr>
          <w:p w14:paraId="29363D7F" w14:textId="09F0476E" w:rsidR="00FB666F" w:rsidRPr="008A5315" w:rsidRDefault="002F135C" w:rsidP="00EA1772">
            <w:r w:rsidRPr="008A5315">
              <w:t xml:space="preserve"> </w:t>
            </w:r>
            <w:r w:rsidR="00FB666F" w:rsidRPr="008A5315">
              <w:t>-0</w:t>
            </w:r>
            <w:r w:rsidR="00A66940" w:rsidRPr="008A5315">
              <w:t>,</w:t>
            </w:r>
            <w:r w:rsidR="00FB666F" w:rsidRPr="008A5315">
              <w:t>0034***</w:t>
            </w:r>
          </w:p>
        </w:tc>
        <w:tc>
          <w:tcPr>
            <w:tcW w:w="751" w:type="pct"/>
            <w:tcBorders>
              <w:top w:val="nil"/>
              <w:left w:val="nil"/>
              <w:bottom w:val="nil"/>
              <w:right w:val="nil"/>
            </w:tcBorders>
            <w:shd w:val="clear" w:color="auto" w:fill="auto"/>
            <w:noWrap/>
            <w:vAlign w:val="center"/>
            <w:hideMark/>
          </w:tcPr>
          <w:p w14:paraId="20E20103" w14:textId="0475775F" w:rsidR="00FB666F" w:rsidRPr="008A5315" w:rsidRDefault="002F135C" w:rsidP="00EA1772">
            <w:r w:rsidRPr="008A5315">
              <w:t xml:space="preserve"> </w:t>
            </w:r>
            <w:r w:rsidR="00FB666F" w:rsidRPr="008A5315">
              <w:t>0</w:t>
            </w:r>
            <w:r w:rsidR="00A66940" w:rsidRPr="008A5315">
              <w:t>,</w:t>
            </w:r>
            <w:r w:rsidR="00FB666F" w:rsidRPr="008A5315">
              <w:t>0017</w:t>
            </w:r>
          </w:p>
        </w:tc>
        <w:tc>
          <w:tcPr>
            <w:tcW w:w="751" w:type="pct"/>
            <w:tcBorders>
              <w:top w:val="nil"/>
              <w:left w:val="nil"/>
              <w:bottom w:val="nil"/>
              <w:right w:val="nil"/>
            </w:tcBorders>
            <w:shd w:val="clear" w:color="auto" w:fill="auto"/>
            <w:noWrap/>
            <w:vAlign w:val="center"/>
            <w:hideMark/>
          </w:tcPr>
          <w:p w14:paraId="194D9BB2" w14:textId="0C65560E" w:rsidR="00FB666F" w:rsidRPr="008A5315" w:rsidRDefault="00FB666F" w:rsidP="00EA1772">
            <w:r w:rsidRPr="008A5315">
              <w:t>0</w:t>
            </w:r>
            <w:r w:rsidR="00A66940" w:rsidRPr="008A5315">
              <w:t>,</w:t>
            </w:r>
            <w:r w:rsidRPr="008A5315">
              <w:t>2472***</w:t>
            </w:r>
          </w:p>
        </w:tc>
        <w:tc>
          <w:tcPr>
            <w:tcW w:w="981" w:type="pct"/>
            <w:tcBorders>
              <w:top w:val="nil"/>
              <w:left w:val="nil"/>
              <w:bottom w:val="nil"/>
              <w:right w:val="nil"/>
            </w:tcBorders>
            <w:shd w:val="clear" w:color="auto" w:fill="auto"/>
            <w:noWrap/>
            <w:vAlign w:val="center"/>
            <w:hideMark/>
          </w:tcPr>
          <w:p w14:paraId="515AB9B4" w14:textId="61E70FD3" w:rsidR="00FB666F" w:rsidRPr="008A5315" w:rsidRDefault="002F135C" w:rsidP="00EA1772">
            <w:r w:rsidRPr="008A5315">
              <w:t xml:space="preserve">  </w:t>
            </w:r>
            <w:r w:rsidR="00FB666F" w:rsidRPr="008A5315">
              <w:t>-0</w:t>
            </w:r>
            <w:r w:rsidR="00A66940" w:rsidRPr="008A5315">
              <w:t>,</w:t>
            </w:r>
            <w:r w:rsidR="00FB666F" w:rsidRPr="008A5315">
              <w:t>0262*</w:t>
            </w:r>
          </w:p>
        </w:tc>
      </w:tr>
      <w:tr w:rsidR="00132476" w:rsidRPr="008A5315" w14:paraId="4687DB8F" w14:textId="77777777" w:rsidTr="00EA1772">
        <w:trPr>
          <w:trHeight w:val="360"/>
        </w:trPr>
        <w:tc>
          <w:tcPr>
            <w:tcW w:w="971" w:type="pct"/>
            <w:tcBorders>
              <w:top w:val="nil"/>
              <w:left w:val="nil"/>
              <w:bottom w:val="nil"/>
              <w:right w:val="nil"/>
            </w:tcBorders>
            <w:shd w:val="clear" w:color="auto" w:fill="auto"/>
            <w:noWrap/>
            <w:vAlign w:val="center"/>
            <w:hideMark/>
          </w:tcPr>
          <w:p w14:paraId="45F9F6B9" w14:textId="77777777" w:rsidR="00FB666F" w:rsidRPr="008A5315" w:rsidRDefault="00FB666F">
            <w:pPr>
              <w:rPr>
                <w:i/>
                <w:iCs/>
              </w:rPr>
            </w:pPr>
            <w:proofErr w:type="spellStart"/>
            <w:r w:rsidRPr="008A5315">
              <w:rPr>
                <w:i/>
                <w:iCs/>
              </w:rPr>
              <w:t>LnProdGas</w:t>
            </w:r>
            <w:r w:rsidRPr="008A5315">
              <w:rPr>
                <w:i/>
                <w:iCs/>
                <w:vertAlign w:val="subscript"/>
              </w:rPr>
              <w:t>i</w:t>
            </w:r>
            <w:proofErr w:type="spellEnd"/>
          </w:p>
        </w:tc>
        <w:tc>
          <w:tcPr>
            <w:tcW w:w="751" w:type="pct"/>
            <w:tcBorders>
              <w:top w:val="nil"/>
              <w:left w:val="nil"/>
              <w:bottom w:val="nil"/>
              <w:right w:val="nil"/>
            </w:tcBorders>
            <w:shd w:val="clear" w:color="auto" w:fill="auto"/>
            <w:noWrap/>
            <w:vAlign w:val="center"/>
            <w:hideMark/>
          </w:tcPr>
          <w:p w14:paraId="217AF3E5" w14:textId="3E208D93" w:rsidR="00FB666F" w:rsidRPr="008A5315" w:rsidRDefault="00FB666F" w:rsidP="00EA1772">
            <w:r w:rsidRPr="008A5315">
              <w:t>0</w:t>
            </w:r>
            <w:r w:rsidR="00A66940" w:rsidRPr="008A5315">
              <w:t>,</w:t>
            </w:r>
            <w:r w:rsidRPr="008A5315">
              <w:t>2003***</w:t>
            </w:r>
          </w:p>
        </w:tc>
        <w:tc>
          <w:tcPr>
            <w:tcW w:w="796" w:type="pct"/>
            <w:tcBorders>
              <w:top w:val="nil"/>
              <w:left w:val="nil"/>
              <w:bottom w:val="nil"/>
              <w:right w:val="nil"/>
            </w:tcBorders>
            <w:shd w:val="clear" w:color="auto" w:fill="auto"/>
            <w:noWrap/>
            <w:vAlign w:val="center"/>
            <w:hideMark/>
          </w:tcPr>
          <w:p w14:paraId="04EB661F" w14:textId="73BBF841" w:rsidR="00FB666F" w:rsidRPr="008A5315" w:rsidRDefault="002F135C" w:rsidP="00EA1772">
            <w:r w:rsidRPr="008A5315">
              <w:t xml:space="preserve">  </w:t>
            </w:r>
            <w:r w:rsidR="00FB666F" w:rsidRPr="008A5315">
              <w:t>0</w:t>
            </w:r>
            <w:r w:rsidR="00A66940" w:rsidRPr="008A5315">
              <w:t>,</w:t>
            </w:r>
            <w:r w:rsidR="00FB666F" w:rsidRPr="008A5315">
              <w:t>2003***</w:t>
            </w:r>
          </w:p>
        </w:tc>
        <w:tc>
          <w:tcPr>
            <w:tcW w:w="751" w:type="pct"/>
            <w:tcBorders>
              <w:top w:val="nil"/>
              <w:left w:val="nil"/>
              <w:bottom w:val="nil"/>
              <w:right w:val="nil"/>
            </w:tcBorders>
            <w:shd w:val="clear" w:color="auto" w:fill="auto"/>
            <w:noWrap/>
            <w:vAlign w:val="center"/>
            <w:hideMark/>
          </w:tcPr>
          <w:p w14:paraId="55B96324" w14:textId="12B71D4D" w:rsidR="00FB666F" w:rsidRPr="008A5315" w:rsidRDefault="00FB666F" w:rsidP="00EA1772">
            <w:r w:rsidRPr="008A5315">
              <w:t>-0</w:t>
            </w:r>
            <w:r w:rsidR="00A66940" w:rsidRPr="008A5315">
              <w:t>,</w:t>
            </w:r>
            <w:r w:rsidRPr="008A5315">
              <w:t>0139</w:t>
            </w:r>
          </w:p>
        </w:tc>
        <w:tc>
          <w:tcPr>
            <w:tcW w:w="751" w:type="pct"/>
            <w:tcBorders>
              <w:top w:val="nil"/>
              <w:left w:val="nil"/>
              <w:bottom w:val="nil"/>
              <w:right w:val="nil"/>
            </w:tcBorders>
            <w:shd w:val="clear" w:color="auto" w:fill="auto"/>
            <w:noWrap/>
            <w:vAlign w:val="center"/>
            <w:hideMark/>
          </w:tcPr>
          <w:p w14:paraId="441D388A" w14:textId="129EAAA4" w:rsidR="00FB666F" w:rsidRPr="008A5315" w:rsidRDefault="00FB666F" w:rsidP="00EA1772">
            <w:r w:rsidRPr="008A5315">
              <w:t>-0</w:t>
            </w:r>
            <w:r w:rsidR="00A66940" w:rsidRPr="008A5315">
              <w:t>,</w:t>
            </w:r>
            <w:r w:rsidRPr="008A5315">
              <w:t>5920***</w:t>
            </w:r>
          </w:p>
        </w:tc>
        <w:tc>
          <w:tcPr>
            <w:tcW w:w="981" w:type="pct"/>
            <w:tcBorders>
              <w:top w:val="nil"/>
              <w:left w:val="nil"/>
              <w:bottom w:val="nil"/>
              <w:right w:val="nil"/>
            </w:tcBorders>
            <w:shd w:val="clear" w:color="auto" w:fill="auto"/>
            <w:noWrap/>
            <w:vAlign w:val="center"/>
            <w:hideMark/>
          </w:tcPr>
          <w:p w14:paraId="300EE585" w14:textId="3D49A7C5" w:rsidR="00FB666F" w:rsidRPr="008A5315" w:rsidRDefault="002F135C" w:rsidP="00EA1772">
            <w:r w:rsidRPr="008A5315">
              <w:t xml:space="preserve">  </w:t>
            </w:r>
            <w:r w:rsidR="00FB666F" w:rsidRPr="008A5315">
              <w:t>-0</w:t>
            </w:r>
            <w:r w:rsidR="00A66940" w:rsidRPr="008A5315">
              <w:t>,</w:t>
            </w:r>
            <w:r w:rsidR="00FB666F" w:rsidRPr="008A5315">
              <w:t>1176***</w:t>
            </w:r>
          </w:p>
        </w:tc>
      </w:tr>
      <w:tr w:rsidR="00132476" w:rsidRPr="008A5315" w14:paraId="43CB2510" w14:textId="77777777" w:rsidTr="00EA1772">
        <w:trPr>
          <w:trHeight w:val="360"/>
        </w:trPr>
        <w:tc>
          <w:tcPr>
            <w:tcW w:w="971" w:type="pct"/>
            <w:tcBorders>
              <w:top w:val="nil"/>
              <w:left w:val="nil"/>
              <w:bottom w:val="nil"/>
              <w:right w:val="nil"/>
            </w:tcBorders>
            <w:shd w:val="clear" w:color="auto" w:fill="auto"/>
            <w:noWrap/>
            <w:vAlign w:val="center"/>
            <w:hideMark/>
          </w:tcPr>
          <w:p w14:paraId="64FED849" w14:textId="77777777" w:rsidR="00FB666F" w:rsidRPr="008A5315" w:rsidRDefault="00FB666F">
            <w:pPr>
              <w:rPr>
                <w:i/>
                <w:iCs/>
              </w:rPr>
            </w:pPr>
            <w:proofErr w:type="spellStart"/>
            <w:r w:rsidRPr="008A5315">
              <w:rPr>
                <w:i/>
                <w:iCs/>
              </w:rPr>
              <w:t>LnPIBpc</w:t>
            </w:r>
            <w:r w:rsidRPr="008A5315">
              <w:rPr>
                <w:i/>
                <w:iCs/>
                <w:vertAlign w:val="subscript"/>
              </w:rPr>
              <w:t>it</w:t>
            </w:r>
            <w:proofErr w:type="spellEnd"/>
          </w:p>
        </w:tc>
        <w:tc>
          <w:tcPr>
            <w:tcW w:w="751" w:type="pct"/>
            <w:tcBorders>
              <w:top w:val="nil"/>
              <w:left w:val="nil"/>
              <w:bottom w:val="nil"/>
              <w:right w:val="nil"/>
            </w:tcBorders>
            <w:shd w:val="clear" w:color="auto" w:fill="auto"/>
            <w:noWrap/>
            <w:vAlign w:val="center"/>
            <w:hideMark/>
          </w:tcPr>
          <w:p w14:paraId="1FBC5278" w14:textId="277CDB0D" w:rsidR="00FB666F" w:rsidRPr="008A5315" w:rsidRDefault="00FB666F" w:rsidP="00EA1772">
            <w:r w:rsidRPr="008A5315">
              <w:t>0</w:t>
            </w:r>
            <w:r w:rsidR="00A66940" w:rsidRPr="008A5315">
              <w:t>,</w:t>
            </w:r>
            <w:r w:rsidRPr="008A5315">
              <w:t>0344***</w:t>
            </w:r>
          </w:p>
        </w:tc>
        <w:tc>
          <w:tcPr>
            <w:tcW w:w="796" w:type="pct"/>
            <w:tcBorders>
              <w:top w:val="nil"/>
              <w:left w:val="nil"/>
              <w:bottom w:val="nil"/>
              <w:right w:val="nil"/>
            </w:tcBorders>
            <w:shd w:val="clear" w:color="auto" w:fill="auto"/>
            <w:noWrap/>
            <w:vAlign w:val="center"/>
            <w:hideMark/>
          </w:tcPr>
          <w:p w14:paraId="16B4994B" w14:textId="7E6CCD34" w:rsidR="00FB666F" w:rsidRPr="008A5315" w:rsidRDefault="002F135C" w:rsidP="00EA1772">
            <w:r w:rsidRPr="008A5315">
              <w:t xml:space="preserve">  </w:t>
            </w:r>
            <w:r w:rsidR="00FB666F" w:rsidRPr="008A5315">
              <w:t>0</w:t>
            </w:r>
            <w:r w:rsidR="00A66940" w:rsidRPr="008A5315">
              <w:t>,</w:t>
            </w:r>
            <w:r w:rsidR="00FB666F" w:rsidRPr="008A5315">
              <w:t>0344***</w:t>
            </w:r>
          </w:p>
        </w:tc>
        <w:tc>
          <w:tcPr>
            <w:tcW w:w="751" w:type="pct"/>
            <w:tcBorders>
              <w:top w:val="nil"/>
              <w:left w:val="nil"/>
              <w:bottom w:val="nil"/>
              <w:right w:val="nil"/>
            </w:tcBorders>
            <w:shd w:val="clear" w:color="auto" w:fill="auto"/>
            <w:noWrap/>
            <w:vAlign w:val="center"/>
            <w:hideMark/>
          </w:tcPr>
          <w:p w14:paraId="2969819A" w14:textId="771D6B79" w:rsidR="00FB666F" w:rsidRPr="008A5315" w:rsidRDefault="00FB666F" w:rsidP="00EA1772">
            <w:r w:rsidRPr="008A5315">
              <w:t>0</w:t>
            </w:r>
            <w:r w:rsidR="00A66940" w:rsidRPr="008A5315">
              <w:t>,</w:t>
            </w:r>
            <w:r w:rsidRPr="008A5315">
              <w:t>0537***</w:t>
            </w:r>
          </w:p>
        </w:tc>
        <w:tc>
          <w:tcPr>
            <w:tcW w:w="751" w:type="pct"/>
            <w:tcBorders>
              <w:top w:val="nil"/>
              <w:left w:val="nil"/>
              <w:bottom w:val="nil"/>
              <w:right w:val="nil"/>
            </w:tcBorders>
            <w:shd w:val="clear" w:color="auto" w:fill="auto"/>
            <w:noWrap/>
            <w:vAlign w:val="center"/>
            <w:hideMark/>
          </w:tcPr>
          <w:p w14:paraId="4F9DC2FE" w14:textId="7A80BFCD" w:rsidR="00FB666F" w:rsidRPr="008A5315" w:rsidRDefault="00FB666F" w:rsidP="00EA1772">
            <w:r w:rsidRPr="008A5315">
              <w:t>0</w:t>
            </w:r>
            <w:r w:rsidR="00A66940" w:rsidRPr="008A5315">
              <w:t>,</w:t>
            </w:r>
            <w:r w:rsidRPr="008A5315">
              <w:t>0421***</w:t>
            </w:r>
          </w:p>
        </w:tc>
        <w:tc>
          <w:tcPr>
            <w:tcW w:w="981" w:type="pct"/>
            <w:tcBorders>
              <w:top w:val="nil"/>
              <w:left w:val="nil"/>
              <w:bottom w:val="nil"/>
              <w:right w:val="nil"/>
            </w:tcBorders>
            <w:shd w:val="clear" w:color="auto" w:fill="auto"/>
            <w:noWrap/>
            <w:vAlign w:val="center"/>
            <w:hideMark/>
          </w:tcPr>
          <w:p w14:paraId="724E6023" w14:textId="5913A7F9" w:rsidR="00FB666F" w:rsidRPr="008A5315" w:rsidRDefault="002F135C" w:rsidP="00EA1772">
            <w:r w:rsidRPr="008A5315">
              <w:t xml:space="preserve">  </w:t>
            </w:r>
            <w:r w:rsidR="00FB666F" w:rsidRPr="008A5315">
              <w:t>0</w:t>
            </w:r>
            <w:r w:rsidR="00A66940" w:rsidRPr="008A5315">
              <w:t>,</w:t>
            </w:r>
            <w:r w:rsidR="00FB666F" w:rsidRPr="008A5315">
              <w:t>0536***</w:t>
            </w:r>
          </w:p>
        </w:tc>
      </w:tr>
      <w:tr w:rsidR="00132476" w:rsidRPr="008A5315" w14:paraId="1ED3A8CE" w14:textId="77777777" w:rsidTr="00EA1772">
        <w:trPr>
          <w:trHeight w:val="360"/>
        </w:trPr>
        <w:tc>
          <w:tcPr>
            <w:tcW w:w="971" w:type="pct"/>
            <w:tcBorders>
              <w:top w:val="nil"/>
              <w:left w:val="nil"/>
              <w:bottom w:val="nil"/>
              <w:right w:val="nil"/>
            </w:tcBorders>
            <w:shd w:val="clear" w:color="auto" w:fill="auto"/>
            <w:noWrap/>
            <w:vAlign w:val="center"/>
            <w:hideMark/>
          </w:tcPr>
          <w:p w14:paraId="6359A483" w14:textId="77777777" w:rsidR="00FB666F" w:rsidRPr="008A5315" w:rsidRDefault="00FB666F">
            <w:pPr>
              <w:rPr>
                <w:i/>
                <w:iCs/>
              </w:rPr>
            </w:pPr>
            <w:proofErr w:type="spellStart"/>
            <w:r w:rsidRPr="008A5315">
              <w:rPr>
                <w:i/>
                <w:iCs/>
              </w:rPr>
              <w:t>LnPop</w:t>
            </w:r>
            <w:r w:rsidRPr="008A5315">
              <w:rPr>
                <w:i/>
                <w:iCs/>
                <w:vertAlign w:val="subscript"/>
              </w:rPr>
              <w:t>it</w:t>
            </w:r>
            <w:proofErr w:type="spellEnd"/>
          </w:p>
        </w:tc>
        <w:tc>
          <w:tcPr>
            <w:tcW w:w="751" w:type="pct"/>
            <w:tcBorders>
              <w:top w:val="nil"/>
              <w:left w:val="nil"/>
              <w:bottom w:val="nil"/>
              <w:right w:val="nil"/>
            </w:tcBorders>
            <w:shd w:val="clear" w:color="auto" w:fill="auto"/>
            <w:noWrap/>
            <w:vAlign w:val="center"/>
            <w:hideMark/>
          </w:tcPr>
          <w:p w14:paraId="01091D4B" w14:textId="2AA5EB4D" w:rsidR="00FB666F" w:rsidRPr="008A5315" w:rsidRDefault="00FB666F" w:rsidP="00EA1772">
            <w:r w:rsidRPr="008A5315">
              <w:t>0</w:t>
            </w:r>
            <w:r w:rsidR="00A66940" w:rsidRPr="008A5315">
              <w:t>,</w:t>
            </w:r>
            <w:r w:rsidRPr="008A5315">
              <w:t>0111</w:t>
            </w:r>
          </w:p>
        </w:tc>
        <w:tc>
          <w:tcPr>
            <w:tcW w:w="796" w:type="pct"/>
            <w:tcBorders>
              <w:top w:val="nil"/>
              <w:left w:val="nil"/>
              <w:bottom w:val="nil"/>
              <w:right w:val="nil"/>
            </w:tcBorders>
            <w:shd w:val="clear" w:color="auto" w:fill="auto"/>
            <w:noWrap/>
            <w:vAlign w:val="center"/>
            <w:hideMark/>
          </w:tcPr>
          <w:p w14:paraId="55B588B5" w14:textId="13046D31" w:rsidR="00FB666F" w:rsidRPr="008A5315" w:rsidRDefault="002F135C" w:rsidP="00EA1772">
            <w:r w:rsidRPr="008A5315">
              <w:t xml:space="preserve">  </w:t>
            </w:r>
            <w:r w:rsidR="00FB666F" w:rsidRPr="008A5315">
              <w:t>0</w:t>
            </w:r>
            <w:r w:rsidR="00A66940" w:rsidRPr="008A5315">
              <w:t>,</w:t>
            </w:r>
            <w:r w:rsidR="00FB666F" w:rsidRPr="008A5315">
              <w:t>0111</w:t>
            </w:r>
          </w:p>
        </w:tc>
        <w:tc>
          <w:tcPr>
            <w:tcW w:w="751" w:type="pct"/>
            <w:tcBorders>
              <w:top w:val="nil"/>
              <w:left w:val="nil"/>
              <w:bottom w:val="nil"/>
              <w:right w:val="nil"/>
            </w:tcBorders>
            <w:shd w:val="clear" w:color="auto" w:fill="auto"/>
            <w:noWrap/>
            <w:vAlign w:val="center"/>
            <w:hideMark/>
          </w:tcPr>
          <w:p w14:paraId="304A6604" w14:textId="7E6CB484" w:rsidR="00FB666F" w:rsidRPr="008A5315" w:rsidRDefault="00FB666F" w:rsidP="00EA1772">
            <w:r w:rsidRPr="008A5315">
              <w:t>-0</w:t>
            </w:r>
            <w:r w:rsidR="00A66940" w:rsidRPr="008A5315">
              <w:t>,</w:t>
            </w:r>
            <w:r w:rsidRPr="008A5315">
              <w:t>0246***</w:t>
            </w:r>
          </w:p>
        </w:tc>
        <w:tc>
          <w:tcPr>
            <w:tcW w:w="751" w:type="pct"/>
            <w:tcBorders>
              <w:top w:val="nil"/>
              <w:left w:val="nil"/>
              <w:bottom w:val="nil"/>
              <w:right w:val="nil"/>
            </w:tcBorders>
            <w:shd w:val="clear" w:color="auto" w:fill="auto"/>
            <w:noWrap/>
            <w:vAlign w:val="center"/>
            <w:hideMark/>
          </w:tcPr>
          <w:p w14:paraId="313879BA" w14:textId="2389F09F" w:rsidR="00FB666F" w:rsidRPr="008A5315" w:rsidRDefault="00FB666F" w:rsidP="00EA1772">
            <w:r w:rsidRPr="008A5315">
              <w:t>0</w:t>
            </w:r>
            <w:r w:rsidR="00A66940" w:rsidRPr="008A5315">
              <w:t>,</w:t>
            </w:r>
            <w:r w:rsidRPr="008A5315">
              <w:t>0128***</w:t>
            </w:r>
          </w:p>
        </w:tc>
        <w:tc>
          <w:tcPr>
            <w:tcW w:w="981" w:type="pct"/>
            <w:tcBorders>
              <w:top w:val="nil"/>
              <w:left w:val="nil"/>
              <w:bottom w:val="nil"/>
              <w:right w:val="nil"/>
            </w:tcBorders>
            <w:shd w:val="clear" w:color="auto" w:fill="auto"/>
            <w:noWrap/>
            <w:vAlign w:val="center"/>
            <w:hideMark/>
          </w:tcPr>
          <w:p w14:paraId="5EA298FA" w14:textId="7C3ABFC6" w:rsidR="00FB666F" w:rsidRPr="008A5315" w:rsidRDefault="002F135C" w:rsidP="00EA1772">
            <w:r w:rsidRPr="008A5315">
              <w:t xml:space="preserve">  </w:t>
            </w:r>
            <w:r w:rsidR="00FB666F" w:rsidRPr="008A5315">
              <w:t>-0</w:t>
            </w:r>
            <w:r w:rsidR="00A66940" w:rsidRPr="008A5315">
              <w:t>,</w:t>
            </w:r>
            <w:r w:rsidR="00FB666F" w:rsidRPr="008A5315">
              <w:t>0419***</w:t>
            </w:r>
          </w:p>
        </w:tc>
      </w:tr>
      <w:tr w:rsidR="00132476" w:rsidRPr="008A5315" w14:paraId="573B5248" w14:textId="77777777" w:rsidTr="00EA1772">
        <w:trPr>
          <w:trHeight w:val="360"/>
        </w:trPr>
        <w:tc>
          <w:tcPr>
            <w:tcW w:w="971" w:type="pct"/>
            <w:tcBorders>
              <w:top w:val="nil"/>
              <w:left w:val="nil"/>
              <w:bottom w:val="nil"/>
              <w:right w:val="nil"/>
            </w:tcBorders>
            <w:shd w:val="clear" w:color="auto" w:fill="auto"/>
            <w:noWrap/>
            <w:vAlign w:val="center"/>
            <w:hideMark/>
          </w:tcPr>
          <w:p w14:paraId="38FFB596" w14:textId="77777777" w:rsidR="00FB666F" w:rsidRPr="008A5315" w:rsidRDefault="00FB666F">
            <w:pPr>
              <w:rPr>
                <w:i/>
                <w:iCs/>
              </w:rPr>
            </w:pPr>
            <w:proofErr w:type="spellStart"/>
            <w:r w:rsidRPr="008A5315">
              <w:rPr>
                <w:i/>
                <w:iCs/>
              </w:rPr>
              <w:t>LnPopIdo</w:t>
            </w:r>
            <w:r w:rsidRPr="008A5315">
              <w:rPr>
                <w:i/>
                <w:iCs/>
                <w:vertAlign w:val="subscript"/>
              </w:rPr>
              <w:t>it</w:t>
            </w:r>
            <w:proofErr w:type="spellEnd"/>
          </w:p>
        </w:tc>
        <w:tc>
          <w:tcPr>
            <w:tcW w:w="751" w:type="pct"/>
            <w:tcBorders>
              <w:top w:val="nil"/>
              <w:left w:val="nil"/>
              <w:bottom w:val="nil"/>
              <w:right w:val="nil"/>
            </w:tcBorders>
            <w:shd w:val="clear" w:color="auto" w:fill="auto"/>
            <w:noWrap/>
            <w:vAlign w:val="center"/>
            <w:hideMark/>
          </w:tcPr>
          <w:p w14:paraId="44E611A9" w14:textId="27D624BC" w:rsidR="00FB666F" w:rsidRPr="008A5315" w:rsidRDefault="00FB666F" w:rsidP="00EA1772">
            <w:r w:rsidRPr="008A5315">
              <w:t>-0</w:t>
            </w:r>
            <w:r w:rsidR="00A66940" w:rsidRPr="008A5315">
              <w:t>,</w:t>
            </w:r>
            <w:r w:rsidRPr="008A5315">
              <w:t>1028***</w:t>
            </w:r>
          </w:p>
        </w:tc>
        <w:tc>
          <w:tcPr>
            <w:tcW w:w="796" w:type="pct"/>
            <w:tcBorders>
              <w:top w:val="nil"/>
              <w:left w:val="nil"/>
              <w:bottom w:val="nil"/>
              <w:right w:val="nil"/>
            </w:tcBorders>
            <w:shd w:val="clear" w:color="auto" w:fill="auto"/>
            <w:noWrap/>
            <w:vAlign w:val="center"/>
            <w:hideMark/>
          </w:tcPr>
          <w:p w14:paraId="494055E3" w14:textId="74FBFB09" w:rsidR="00FB666F" w:rsidRPr="008A5315" w:rsidRDefault="002F135C" w:rsidP="00EA1772">
            <w:r w:rsidRPr="008A5315">
              <w:t xml:space="preserve">  </w:t>
            </w:r>
            <w:r w:rsidR="00FB666F" w:rsidRPr="008A5315">
              <w:t>-0</w:t>
            </w:r>
            <w:r w:rsidR="00A66940" w:rsidRPr="008A5315">
              <w:t>,</w:t>
            </w:r>
            <w:r w:rsidR="00FB666F" w:rsidRPr="008A5315">
              <w:t>1028***</w:t>
            </w:r>
          </w:p>
        </w:tc>
        <w:tc>
          <w:tcPr>
            <w:tcW w:w="751" w:type="pct"/>
            <w:tcBorders>
              <w:top w:val="nil"/>
              <w:left w:val="nil"/>
              <w:bottom w:val="nil"/>
              <w:right w:val="nil"/>
            </w:tcBorders>
            <w:shd w:val="clear" w:color="auto" w:fill="auto"/>
            <w:noWrap/>
            <w:vAlign w:val="center"/>
            <w:hideMark/>
          </w:tcPr>
          <w:p w14:paraId="442BC8F8" w14:textId="46EC5705" w:rsidR="00FB666F" w:rsidRPr="008A5315" w:rsidRDefault="00FB666F" w:rsidP="00EA1772">
            <w:r w:rsidRPr="008A5315">
              <w:t>0</w:t>
            </w:r>
            <w:r w:rsidR="00A66940" w:rsidRPr="008A5315">
              <w:t>,</w:t>
            </w:r>
            <w:r w:rsidRPr="008A5315">
              <w:t>0393***</w:t>
            </w:r>
          </w:p>
        </w:tc>
        <w:tc>
          <w:tcPr>
            <w:tcW w:w="751" w:type="pct"/>
            <w:tcBorders>
              <w:top w:val="nil"/>
              <w:left w:val="nil"/>
              <w:bottom w:val="nil"/>
              <w:right w:val="nil"/>
            </w:tcBorders>
            <w:shd w:val="clear" w:color="auto" w:fill="auto"/>
            <w:noWrap/>
            <w:vAlign w:val="center"/>
            <w:hideMark/>
          </w:tcPr>
          <w:p w14:paraId="5EC9B453" w14:textId="47AE52F1" w:rsidR="00FB666F" w:rsidRPr="008A5315" w:rsidRDefault="002F135C" w:rsidP="00EA1772">
            <w:r w:rsidRPr="008A5315">
              <w:t xml:space="preserve"> </w:t>
            </w:r>
            <w:r w:rsidR="00FB666F" w:rsidRPr="008A5315">
              <w:t>0</w:t>
            </w:r>
            <w:r w:rsidR="00A66940" w:rsidRPr="008A5315">
              <w:t>,</w:t>
            </w:r>
            <w:r w:rsidR="00FB666F" w:rsidRPr="008A5315">
              <w:t>0000</w:t>
            </w:r>
          </w:p>
        </w:tc>
        <w:tc>
          <w:tcPr>
            <w:tcW w:w="981" w:type="pct"/>
            <w:tcBorders>
              <w:top w:val="nil"/>
              <w:left w:val="nil"/>
              <w:bottom w:val="nil"/>
              <w:right w:val="nil"/>
            </w:tcBorders>
            <w:shd w:val="clear" w:color="auto" w:fill="auto"/>
            <w:noWrap/>
            <w:vAlign w:val="center"/>
            <w:hideMark/>
          </w:tcPr>
          <w:p w14:paraId="7B17B302" w14:textId="7BF847E4" w:rsidR="00FB666F" w:rsidRPr="008A5315" w:rsidRDefault="002F135C" w:rsidP="00EA1772">
            <w:r w:rsidRPr="008A5315">
              <w:t xml:space="preserve">   </w:t>
            </w:r>
            <w:r w:rsidR="00FB666F" w:rsidRPr="008A5315">
              <w:t>0</w:t>
            </w:r>
            <w:r w:rsidR="00A66940" w:rsidRPr="008A5315">
              <w:t>,</w:t>
            </w:r>
            <w:r w:rsidR="00FB666F" w:rsidRPr="008A5315">
              <w:t>0580***</w:t>
            </w:r>
          </w:p>
        </w:tc>
      </w:tr>
      <w:tr w:rsidR="00132476" w:rsidRPr="008A5315" w14:paraId="70C275CB" w14:textId="77777777" w:rsidTr="00C71298">
        <w:trPr>
          <w:trHeight w:val="320"/>
        </w:trPr>
        <w:tc>
          <w:tcPr>
            <w:tcW w:w="971" w:type="pct"/>
            <w:tcBorders>
              <w:top w:val="nil"/>
              <w:left w:val="nil"/>
              <w:bottom w:val="nil"/>
              <w:right w:val="nil"/>
            </w:tcBorders>
            <w:shd w:val="clear" w:color="auto" w:fill="auto"/>
            <w:noWrap/>
            <w:vAlign w:val="center"/>
            <w:hideMark/>
          </w:tcPr>
          <w:p w14:paraId="19D0660E" w14:textId="77777777" w:rsidR="00FB666F" w:rsidRPr="008A5315" w:rsidRDefault="00FB666F" w:rsidP="00EA1772">
            <w:pPr>
              <w:jc w:val="center"/>
              <w:rPr>
                <w:i/>
                <w:iCs/>
              </w:rPr>
            </w:pPr>
            <w:r w:rsidRPr="008A5315">
              <w:rPr>
                <w:i/>
                <w:iCs/>
              </w:rPr>
              <w:t>D2006</w:t>
            </w:r>
          </w:p>
        </w:tc>
        <w:tc>
          <w:tcPr>
            <w:tcW w:w="751" w:type="pct"/>
            <w:tcBorders>
              <w:top w:val="nil"/>
              <w:left w:val="nil"/>
              <w:bottom w:val="nil"/>
              <w:right w:val="nil"/>
            </w:tcBorders>
            <w:shd w:val="clear" w:color="auto" w:fill="auto"/>
            <w:noWrap/>
            <w:vAlign w:val="center"/>
            <w:hideMark/>
          </w:tcPr>
          <w:p w14:paraId="6AE7EF04" w14:textId="43444BD8" w:rsidR="00FB666F" w:rsidRPr="008A5315" w:rsidRDefault="00FB666F" w:rsidP="00EA1772">
            <w:r w:rsidRPr="008A5315">
              <w:t>0</w:t>
            </w:r>
            <w:r w:rsidR="00A66940" w:rsidRPr="008A5315">
              <w:t>,</w:t>
            </w:r>
            <w:r w:rsidRPr="008A5315">
              <w:t>0076***</w:t>
            </w:r>
          </w:p>
        </w:tc>
        <w:tc>
          <w:tcPr>
            <w:tcW w:w="796" w:type="pct"/>
            <w:tcBorders>
              <w:top w:val="nil"/>
              <w:left w:val="nil"/>
              <w:bottom w:val="nil"/>
              <w:right w:val="nil"/>
            </w:tcBorders>
            <w:shd w:val="clear" w:color="auto" w:fill="auto"/>
            <w:noWrap/>
            <w:vAlign w:val="center"/>
            <w:hideMark/>
          </w:tcPr>
          <w:p w14:paraId="5EC954AD" w14:textId="346261C8" w:rsidR="00FB666F" w:rsidRPr="008A5315" w:rsidRDefault="002F135C" w:rsidP="00EA1772">
            <w:r w:rsidRPr="008A5315">
              <w:t xml:space="preserve">  </w:t>
            </w:r>
            <w:r w:rsidR="00FB666F" w:rsidRPr="008A5315">
              <w:t>0</w:t>
            </w:r>
            <w:r w:rsidR="00A66940" w:rsidRPr="008A5315">
              <w:t>,</w:t>
            </w:r>
            <w:r w:rsidR="00FB666F" w:rsidRPr="008A5315">
              <w:t>0076***</w:t>
            </w:r>
          </w:p>
        </w:tc>
        <w:tc>
          <w:tcPr>
            <w:tcW w:w="751" w:type="pct"/>
            <w:tcBorders>
              <w:top w:val="nil"/>
              <w:left w:val="nil"/>
              <w:bottom w:val="nil"/>
              <w:right w:val="nil"/>
            </w:tcBorders>
            <w:shd w:val="clear" w:color="auto" w:fill="auto"/>
            <w:noWrap/>
            <w:vAlign w:val="center"/>
            <w:hideMark/>
          </w:tcPr>
          <w:p w14:paraId="6CC26429" w14:textId="3EB0FF36" w:rsidR="00FB666F" w:rsidRPr="008A5315" w:rsidRDefault="002F135C" w:rsidP="00EA1772">
            <w:r w:rsidRPr="008A5315">
              <w:t xml:space="preserve"> </w:t>
            </w:r>
            <w:r w:rsidR="00FB666F" w:rsidRPr="008A5315">
              <w:t>-0</w:t>
            </w:r>
            <w:r w:rsidR="00A66940" w:rsidRPr="008A5315">
              <w:t>,</w:t>
            </w:r>
            <w:r w:rsidR="00FB666F" w:rsidRPr="008A5315">
              <w:t>0017</w:t>
            </w:r>
          </w:p>
        </w:tc>
        <w:tc>
          <w:tcPr>
            <w:tcW w:w="751" w:type="pct"/>
            <w:tcBorders>
              <w:top w:val="nil"/>
              <w:left w:val="nil"/>
              <w:bottom w:val="nil"/>
              <w:right w:val="nil"/>
            </w:tcBorders>
            <w:shd w:val="clear" w:color="auto" w:fill="auto"/>
            <w:noWrap/>
            <w:vAlign w:val="center"/>
            <w:hideMark/>
          </w:tcPr>
          <w:p w14:paraId="788967A3" w14:textId="54527913" w:rsidR="00FB666F" w:rsidRPr="008A5315" w:rsidRDefault="00FB666F" w:rsidP="00EA1772">
            <w:r w:rsidRPr="008A5315">
              <w:t>-0</w:t>
            </w:r>
            <w:r w:rsidR="00A66940" w:rsidRPr="008A5315">
              <w:t>,</w:t>
            </w:r>
            <w:r w:rsidRPr="008A5315">
              <w:t>0093***</w:t>
            </w:r>
          </w:p>
        </w:tc>
        <w:tc>
          <w:tcPr>
            <w:tcW w:w="981" w:type="pct"/>
            <w:tcBorders>
              <w:top w:val="nil"/>
              <w:left w:val="nil"/>
              <w:bottom w:val="nil"/>
              <w:right w:val="nil"/>
            </w:tcBorders>
            <w:shd w:val="clear" w:color="auto" w:fill="auto"/>
            <w:noWrap/>
            <w:vAlign w:val="center"/>
          </w:tcPr>
          <w:p w14:paraId="4A59C409" w14:textId="51B16C39" w:rsidR="00FB666F" w:rsidRPr="008A5315" w:rsidRDefault="00FB666F" w:rsidP="00C71298"/>
        </w:tc>
      </w:tr>
      <w:tr w:rsidR="00132476" w:rsidRPr="008A5315" w14:paraId="312208D0" w14:textId="77777777" w:rsidTr="00EA1772">
        <w:trPr>
          <w:trHeight w:val="320"/>
        </w:trPr>
        <w:tc>
          <w:tcPr>
            <w:tcW w:w="971" w:type="pct"/>
            <w:tcBorders>
              <w:top w:val="nil"/>
              <w:left w:val="nil"/>
              <w:bottom w:val="nil"/>
              <w:right w:val="nil"/>
            </w:tcBorders>
            <w:shd w:val="clear" w:color="auto" w:fill="auto"/>
            <w:noWrap/>
            <w:vAlign w:val="center"/>
            <w:hideMark/>
          </w:tcPr>
          <w:p w14:paraId="6F2DD57E" w14:textId="77777777" w:rsidR="00FB666F" w:rsidRPr="008A5315" w:rsidRDefault="00FB666F" w:rsidP="00EA1772">
            <w:pPr>
              <w:jc w:val="center"/>
              <w:rPr>
                <w:i/>
                <w:iCs/>
              </w:rPr>
            </w:pPr>
            <w:r w:rsidRPr="008A5315">
              <w:rPr>
                <w:i/>
                <w:iCs/>
              </w:rPr>
              <w:t>D2007</w:t>
            </w:r>
          </w:p>
        </w:tc>
        <w:tc>
          <w:tcPr>
            <w:tcW w:w="751" w:type="pct"/>
            <w:tcBorders>
              <w:top w:val="nil"/>
              <w:left w:val="nil"/>
              <w:bottom w:val="nil"/>
              <w:right w:val="nil"/>
            </w:tcBorders>
            <w:shd w:val="clear" w:color="auto" w:fill="auto"/>
            <w:noWrap/>
            <w:vAlign w:val="center"/>
            <w:hideMark/>
          </w:tcPr>
          <w:p w14:paraId="4C644094" w14:textId="24E3043D" w:rsidR="00FB666F" w:rsidRPr="008A5315" w:rsidRDefault="00FB666F" w:rsidP="00EA1772">
            <w:r w:rsidRPr="008A5315">
              <w:t>0</w:t>
            </w:r>
            <w:r w:rsidR="00A66940" w:rsidRPr="008A5315">
              <w:t>,</w:t>
            </w:r>
            <w:r w:rsidRPr="008A5315">
              <w:t>0142***</w:t>
            </w:r>
          </w:p>
        </w:tc>
        <w:tc>
          <w:tcPr>
            <w:tcW w:w="796" w:type="pct"/>
            <w:tcBorders>
              <w:top w:val="nil"/>
              <w:left w:val="nil"/>
              <w:bottom w:val="nil"/>
              <w:right w:val="nil"/>
            </w:tcBorders>
            <w:shd w:val="clear" w:color="auto" w:fill="auto"/>
            <w:noWrap/>
            <w:vAlign w:val="center"/>
            <w:hideMark/>
          </w:tcPr>
          <w:p w14:paraId="3D0E46B5" w14:textId="74DB1926" w:rsidR="00FB666F" w:rsidRPr="008A5315" w:rsidRDefault="002F135C" w:rsidP="00EA1772">
            <w:r w:rsidRPr="008A5315">
              <w:t xml:space="preserve">  </w:t>
            </w:r>
            <w:r w:rsidR="00FB666F" w:rsidRPr="008A5315">
              <w:t>0</w:t>
            </w:r>
            <w:r w:rsidR="00A66940" w:rsidRPr="008A5315">
              <w:t>,</w:t>
            </w:r>
            <w:r w:rsidR="00FB666F" w:rsidRPr="008A5315">
              <w:t>0142***</w:t>
            </w:r>
          </w:p>
        </w:tc>
        <w:tc>
          <w:tcPr>
            <w:tcW w:w="751" w:type="pct"/>
            <w:tcBorders>
              <w:top w:val="nil"/>
              <w:left w:val="nil"/>
              <w:bottom w:val="nil"/>
              <w:right w:val="nil"/>
            </w:tcBorders>
            <w:shd w:val="clear" w:color="auto" w:fill="auto"/>
            <w:noWrap/>
            <w:vAlign w:val="center"/>
            <w:hideMark/>
          </w:tcPr>
          <w:p w14:paraId="67BB5888" w14:textId="273B9701" w:rsidR="00FB666F" w:rsidRPr="008A5315" w:rsidRDefault="002F135C" w:rsidP="00EA1772">
            <w:r w:rsidRPr="008A5315">
              <w:t xml:space="preserve"> </w:t>
            </w:r>
            <w:r w:rsidR="00FB666F" w:rsidRPr="008A5315">
              <w:t>-0</w:t>
            </w:r>
            <w:r w:rsidR="00A66940" w:rsidRPr="008A5315">
              <w:t>,</w:t>
            </w:r>
            <w:r w:rsidR="00FB666F" w:rsidRPr="008A5315">
              <w:t>0026</w:t>
            </w:r>
          </w:p>
        </w:tc>
        <w:tc>
          <w:tcPr>
            <w:tcW w:w="751" w:type="pct"/>
            <w:tcBorders>
              <w:top w:val="nil"/>
              <w:left w:val="nil"/>
              <w:bottom w:val="nil"/>
              <w:right w:val="nil"/>
            </w:tcBorders>
            <w:shd w:val="clear" w:color="auto" w:fill="auto"/>
            <w:noWrap/>
            <w:vAlign w:val="center"/>
            <w:hideMark/>
          </w:tcPr>
          <w:p w14:paraId="19403DE3" w14:textId="44030598" w:rsidR="00FB666F" w:rsidRPr="008A5315" w:rsidRDefault="00FB666F" w:rsidP="00EA1772">
            <w:r w:rsidRPr="008A5315">
              <w:t>-0</w:t>
            </w:r>
            <w:r w:rsidR="00A66940" w:rsidRPr="008A5315">
              <w:t>,</w:t>
            </w:r>
            <w:r w:rsidRPr="008A5315">
              <w:t>0237***</w:t>
            </w:r>
          </w:p>
        </w:tc>
        <w:tc>
          <w:tcPr>
            <w:tcW w:w="981" w:type="pct"/>
            <w:tcBorders>
              <w:top w:val="nil"/>
              <w:left w:val="nil"/>
              <w:bottom w:val="nil"/>
              <w:right w:val="nil"/>
            </w:tcBorders>
            <w:shd w:val="clear" w:color="auto" w:fill="auto"/>
            <w:noWrap/>
            <w:vAlign w:val="center"/>
            <w:hideMark/>
          </w:tcPr>
          <w:p w14:paraId="5092F732" w14:textId="162F07F9" w:rsidR="00FB666F" w:rsidRPr="008A5315" w:rsidRDefault="002F135C" w:rsidP="00EA1772">
            <w:r w:rsidRPr="008A5315">
              <w:t xml:space="preserve">    </w:t>
            </w:r>
            <w:r w:rsidR="00FB666F" w:rsidRPr="008A5315">
              <w:t>(base)</w:t>
            </w:r>
          </w:p>
        </w:tc>
      </w:tr>
      <w:tr w:rsidR="00132476" w:rsidRPr="008A5315" w14:paraId="23495C32" w14:textId="77777777" w:rsidTr="00EA1772">
        <w:trPr>
          <w:trHeight w:val="320"/>
        </w:trPr>
        <w:tc>
          <w:tcPr>
            <w:tcW w:w="971" w:type="pct"/>
            <w:tcBorders>
              <w:top w:val="nil"/>
              <w:left w:val="nil"/>
              <w:bottom w:val="nil"/>
              <w:right w:val="nil"/>
            </w:tcBorders>
            <w:shd w:val="clear" w:color="auto" w:fill="auto"/>
            <w:noWrap/>
            <w:vAlign w:val="center"/>
            <w:hideMark/>
          </w:tcPr>
          <w:p w14:paraId="01B8F0A1" w14:textId="77777777" w:rsidR="00FB666F" w:rsidRPr="008A5315" w:rsidRDefault="00FB666F" w:rsidP="00EA1772">
            <w:pPr>
              <w:jc w:val="center"/>
              <w:rPr>
                <w:i/>
                <w:iCs/>
              </w:rPr>
            </w:pPr>
            <w:r w:rsidRPr="008A5315">
              <w:rPr>
                <w:i/>
                <w:iCs/>
              </w:rPr>
              <w:t>D2008</w:t>
            </w:r>
          </w:p>
        </w:tc>
        <w:tc>
          <w:tcPr>
            <w:tcW w:w="751" w:type="pct"/>
            <w:tcBorders>
              <w:top w:val="nil"/>
              <w:left w:val="nil"/>
              <w:bottom w:val="nil"/>
              <w:right w:val="nil"/>
            </w:tcBorders>
            <w:shd w:val="clear" w:color="auto" w:fill="auto"/>
            <w:noWrap/>
            <w:vAlign w:val="center"/>
            <w:hideMark/>
          </w:tcPr>
          <w:p w14:paraId="2EF3F488" w14:textId="1A80F772" w:rsidR="00FB666F" w:rsidRPr="008A5315" w:rsidRDefault="00FB666F" w:rsidP="00EA1772">
            <w:r w:rsidRPr="008A5315">
              <w:t>0</w:t>
            </w:r>
            <w:r w:rsidR="00A66940" w:rsidRPr="008A5315">
              <w:t>,</w:t>
            </w:r>
            <w:r w:rsidRPr="008A5315">
              <w:t>0220***</w:t>
            </w:r>
          </w:p>
        </w:tc>
        <w:tc>
          <w:tcPr>
            <w:tcW w:w="796" w:type="pct"/>
            <w:tcBorders>
              <w:top w:val="nil"/>
              <w:left w:val="nil"/>
              <w:bottom w:val="nil"/>
              <w:right w:val="nil"/>
            </w:tcBorders>
            <w:shd w:val="clear" w:color="auto" w:fill="auto"/>
            <w:noWrap/>
            <w:vAlign w:val="center"/>
            <w:hideMark/>
          </w:tcPr>
          <w:p w14:paraId="5FF8C70B" w14:textId="5CBD0C22" w:rsidR="00FB666F" w:rsidRPr="008A5315" w:rsidRDefault="002F135C" w:rsidP="00EA1772">
            <w:r w:rsidRPr="008A5315">
              <w:t xml:space="preserve">  </w:t>
            </w:r>
            <w:r w:rsidR="00FB666F" w:rsidRPr="008A5315">
              <w:t>0</w:t>
            </w:r>
            <w:r w:rsidR="00A66940" w:rsidRPr="008A5315">
              <w:t>,</w:t>
            </w:r>
            <w:r w:rsidR="00FB666F" w:rsidRPr="008A5315">
              <w:t>0220***</w:t>
            </w:r>
          </w:p>
        </w:tc>
        <w:tc>
          <w:tcPr>
            <w:tcW w:w="751" w:type="pct"/>
            <w:tcBorders>
              <w:top w:val="nil"/>
              <w:left w:val="nil"/>
              <w:bottom w:val="nil"/>
              <w:right w:val="nil"/>
            </w:tcBorders>
            <w:shd w:val="clear" w:color="auto" w:fill="auto"/>
            <w:noWrap/>
            <w:vAlign w:val="center"/>
            <w:hideMark/>
          </w:tcPr>
          <w:p w14:paraId="65F8E655" w14:textId="341CD9C8" w:rsidR="00FB666F" w:rsidRPr="008A5315" w:rsidRDefault="002F135C" w:rsidP="00EA1772">
            <w:r w:rsidRPr="008A5315">
              <w:t xml:space="preserve"> </w:t>
            </w:r>
            <w:r w:rsidR="00FB666F" w:rsidRPr="008A5315">
              <w:t>-0</w:t>
            </w:r>
            <w:r w:rsidR="00A66940" w:rsidRPr="008A5315">
              <w:t>,</w:t>
            </w:r>
            <w:r w:rsidR="00FB666F" w:rsidRPr="008A5315">
              <w:t>0005</w:t>
            </w:r>
          </w:p>
        </w:tc>
        <w:tc>
          <w:tcPr>
            <w:tcW w:w="751" w:type="pct"/>
            <w:tcBorders>
              <w:top w:val="nil"/>
              <w:left w:val="nil"/>
              <w:bottom w:val="nil"/>
              <w:right w:val="nil"/>
            </w:tcBorders>
            <w:shd w:val="clear" w:color="auto" w:fill="auto"/>
            <w:noWrap/>
            <w:vAlign w:val="center"/>
            <w:hideMark/>
          </w:tcPr>
          <w:p w14:paraId="18A935F4" w14:textId="59C53B7A" w:rsidR="00FB666F" w:rsidRPr="008A5315" w:rsidRDefault="00FB666F" w:rsidP="00EA1772">
            <w:r w:rsidRPr="008A5315">
              <w:t>-0</w:t>
            </w:r>
            <w:r w:rsidR="00A66940" w:rsidRPr="008A5315">
              <w:t>,</w:t>
            </w:r>
            <w:r w:rsidRPr="008A5315">
              <w:t>0078***</w:t>
            </w:r>
          </w:p>
        </w:tc>
        <w:tc>
          <w:tcPr>
            <w:tcW w:w="981" w:type="pct"/>
            <w:tcBorders>
              <w:top w:val="nil"/>
              <w:left w:val="nil"/>
              <w:bottom w:val="nil"/>
              <w:right w:val="nil"/>
            </w:tcBorders>
            <w:shd w:val="clear" w:color="auto" w:fill="auto"/>
            <w:noWrap/>
            <w:vAlign w:val="center"/>
            <w:hideMark/>
          </w:tcPr>
          <w:p w14:paraId="2E879AC6" w14:textId="5E885161" w:rsidR="00FB666F" w:rsidRPr="008A5315" w:rsidRDefault="002F135C" w:rsidP="00EA1772">
            <w:r w:rsidRPr="008A5315">
              <w:t xml:space="preserve">    </w:t>
            </w:r>
            <w:r w:rsidR="00FB666F" w:rsidRPr="008A5315">
              <w:t>0</w:t>
            </w:r>
            <w:r w:rsidR="00A66940" w:rsidRPr="008A5315">
              <w:t>,</w:t>
            </w:r>
            <w:r w:rsidR="00FB666F" w:rsidRPr="008A5315">
              <w:t>0028</w:t>
            </w:r>
          </w:p>
        </w:tc>
      </w:tr>
      <w:tr w:rsidR="00132476" w:rsidRPr="008A5315" w14:paraId="73E437DC" w14:textId="77777777" w:rsidTr="00EA1772">
        <w:trPr>
          <w:trHeight w:val="320"/>
        </w:trPr>
        <w:tc>
          <w:tcPr>
            <w:tcW w:w="971" w:type="pct"/>
            <w:tcBorders>
              <w:top w:val="nil"/>
              <w:left w:val="nil"/>
              <w:bottom w:val="nil"/>
              <w:right w:val="nil"/>
            </w:tcBorders>
            <w:shd w:val="clear" w:color="auto" w:fill="auto"/>
            <w:noWrap/>
            <w:vAlign w:val="center"/>
            <w:hideMark/>
          </w:tcPr>
          <w:p w14:paraId="5062C1D4" w14:textId="77777777" w:rsidR="00FB666F" w:rsidRPr="008A5315" w:rsidRDefault="00FB666F" w:rsidP="00EA1772">
            <w:pPr>
              <w:jc w:val="center"/>
              <w:rPr>
                <w:i/>
                <w:iCs/>
              </w:rPr>
            </w:pPr>
            <w:r w:rsidRPr="008A5315">
              <w:rPr>
                <w:i/>
                <w:iCs/>
              </w:rPr>
              <w:t>D2009</w:t>
            </w:r>
          </w:p>
        </w:tc>
        <w:tc>
          <w:tcPr>
            <w:tcW w:w="751" w:type="pct"/>
            <w:tcBorders>
              <w:top w:val="nil"/>
              <w:left w:val="nil"/>
              <w:bottom w:val="nil"/>
              <w:right w:val="nil"/>
            </w:tcBorders>
            <w:shd w:val="clear" w:color="auto" w:fill="auto"/>
            <w:noWrap/>
            <w:vAlign w:val="center"/>
            <w:hideMark/>
          </w:tcPr>
          <w:p w14:paraId="77B2CFC8" w14:textId="73E90BE8" w:rsidR="00FB666F" w:rsidRPr="008A5315" w:rsidRDefault="00FB666F" w:rsidP="00EA1772">
            <w:r w:rsidRPr="008A5315">
              <w:t>0</w:t>
            </w:r>
            <w:r w:rsidR="00A66940" w:rsidRPr="008A5315">
              <w:t>,</w:t>
            </w:r>
            <w:r w:rsidRPr="008A5315">
              <w:t>0346***</w:t>
            </w:r>
          </w:p>
        </w:tc>
        <w:tc>
          <w:tcPr>
            <w:tcW w:w="796" w:type="pct"/>
            <w:tcBorders>
              <w:top w:val="nil"/>
              <w:left w:val="nil"/>
              <w:bottom w:val="nil"/>
              <w:right w:val="nil"/>
            </w:tcBorders>
            <w:shd w:val="clear" w:color="auto" w:fill="auto"/>
            <w:noWrap/>
            <w:vAlign w:val="center"/>
            <w:hideMark/>
          </w:tcPr>
          <w:p w14:paraId="21DA2FD5" w14:textId="70932230" w:rsidR="00FB666F" w:rsidRPr="008A5315" w:rsidRDefault="002F135C" w:rsidP="00EA1772">
            <w:r w:rsidRPr="008A5315">
              <w:t xml:space="preserve">  </w:t>
            </w:r>
            <w:r w:rsidR="00FB666F" w:rsidRPr="008A5315">
              <w:t>0</w:t>
            </w:r>
            <w:r w:rsidR="00A66940" w:rsidRPr="008A5315">
              <w:t>,</w:t>
            </w:r>
            <w:r w:rsidR="00FB666F" w:rsidRPr="008A5315">
              <w:t>0346***</w:t>
            </w:r>
          </w:p>
        </w:tc>
        <w:tc>
          <w:tcPr>
            <w:tcW w:w="751" w:type="pct"/>
            <w:tcBorders>
              <w:top w:val="nil"/>
              <w:left w:val="nil"/>
              <w:bottom w:val="nil"/>
              <w:right w:val="nil"/>
            </w:tcBorders>
            <w:shd w:val="clear" w:color="auto" w:fill="auto"/>
            <w:noWrap/>
            <w:vAlign w:val="center"/>
            <w:hideMark/>
          </w:tcPr>
          <w:p w14:paraId="4A69C1BD" w14:textId="51DB8E05" w:rsidR="00FB666F" w:rsidRPr="008A5315" w:rsidRDefault="002F135C" w:rsidP="00EA1772">
            <w:r w:rsidRPr="008A5315">
              <w:t xml:space="preserve"> </w:t>
            </w:r>
            <w:r w:rsidR="00FB666F" w:rsidRPr="008A5315">
              <w:t>0</w:t>
            </w:r>
            <w:r w:rsidR="00A66940" w:rsidRPr="008A5315">
              <w:t>,</w:t>
            </w:r>
            <w:r w:rsidR="00FB666F" w:rsidRPr="008A5315">
              <w:t>0053*</w:t>
            </w:r>
          </w:p>
        </w:tc>
        <w:tc>
          <w:tcPr>
            <w:tcW w:w="751" w:type="pct"/>
            <w:tcBorders>
              <w:top w:val="nil"/>
              <w:left w:val="nil"/>
              <w:bottom w:val="nil"/>
              <w:right w:val="nil"/>
            </w:tcBorders>
            <w:shd w:val="clear" w:color="auto" w:fill="auto"/>
            <w:noWrap/>
            <w:vAlign w:val="center"/>
            <w:hideMark/>
          </w:tcPr>
          <w:p w14:paraId="563A54D0" w14:textId="7BE6BC61" w:rsidR="00FB666F" w:rsidRPr="008A5315" w:rsidRDefault="00FB666F" w:rsidP="00EA1772">
            <w:r w:rsidRPr="008A5315">
              <w:t>-0</w:t>
            </w:r>
            <w:r w:rsidR="00A66940" w:rsidRPr="008A5315">
              <w:t>,</w:t>
            </w:r>
            <w:r w:rsidRPr="008A5315">
              <w:t>0127***</w:t>
            </w:r>
          </w:p>
        </w:tc>
        <w:tc>
          <w:tcPr>
            <w:tcW w:w="981" w:type="pct"/>
            <w:tcBorders>
              <w:top w:val="nil"/>
              <w:left w:val="nil"/>
              <w:bottom w:val="nil"/>
              <w:right w:val="nil"/>
            </w:tcBorders>
            <w:shd w:val="clear" w:color="auto" w:fill="auto"/>
            <w:noWrap/>
            <w:vAlign w:val="center"/>
            <w:hideMark/>
          </w:tcPr>
          <w:p w14:paraId="16D491A5" w14:textId="24B67DD6" w:rsidR="00FB666F" w:rsidRPr="008A5315" w:rsidRDefault="002F135C" w:rsidP="00EA1772">
            <w:r w:rsidRPr="008A5315">
              <w:t xml:space="preserve">    </w:t>
            </w:r>
            <w:r w:rsidR="00FB666F" w:rsidRPr="008A5315">
              <w:t>0</w:t>
            </w:r>
            <w:r w:rsidR="00A66940" w:rsidRPr="008A5315">
              <w:t>,</w:t>
            </w:r>
            <w:r w:rsidR="00FB666F" w:rsidRPr="008A5315">
              <w:t>0086***</w:t>
            </w:r>
          </w:p>
        </w:tc>
      </w:tr>
      <w:tr w:rsidR="00132476" w:rsidRPr="008A5315" w14:paraId="1BC416F2" w14:textId="77777777" w:rsidTr="00EA1772">
        <w:trPr>
          <w:trHeight w:val="320"/>
        </w:trPr>
        <w:tc>
          <w:tcPr>
            <w:tcW w:w="971" w:type="pct"/>
            <w:tcBorders>
              <w:top w:val="nil"/>
              <w:left w:val="nil"/>
              <w:bottom w:val="nil"/>
              <w:right w:val="nil"/>
            </w:tcBorders>
            <w:shd w:val="clear" w:color="auto" w:fill="auto"/>
            <w:noWrap/>
            <w:vAlign w:val="center"/>
            <w:hideMark/>
          </w:tcPr>
          <w:p w14:paraId="153FF9B9" w14:textId="77777777" w:rsidR="00FB666F" w:rsidRPr="008A5315" w:rsidRDefault="00FB666F" w:rsidP="00EA1772">
            <w:pPr>
              <w:jc w:val="center"/>
              <w:rPr>
                <w:i/>
                <w:iCs/>
              </w:rPr>
            </w:pPr>
            <w:r w:rsidRPr="008A5315">
              <w:rPr>
                <w:i/>
                <w:iCs/>
              </w:rPr>
              <w:t>D2010</w:t>
            </w:r>
          </w:p>
        </w:tc>
        <w:tc>
          <w:tcPr>
            <w:tcW w:w="751" w:type="pct"/>
            <w:tcBorders>
              <w:top w:val="nil"/>
              <w:left w:val="nil"/>
              <w:bottom w:val="nil"/>
              <w:right w:val="nil"/>
            </w:tcBorders>
            <w:shd w:val="clear" w:color="auto" w:fill="auto"/>
            <w:noWrap/>
            <w:vAlign w:val="center"/>
            <w:hideMark/>
          </w:tcPr>
          <w:p w14:paraId="525BD8FE" w14:textId="26C1C110" w:rsidR="00FB666F" w:rsidRPr="008A5315" w:rsidRDefault="00FB666F" w:rsidP="00EA1772">
            <w:r w:rsidRPr="008A5315">
              <w:t>0</w:t>
            </w:r>
            <w:r w:rsidR="00A66940" w:rsidRPr="008A5315">
              <w:t>,</w:t>
            </w:r>
            <w:r w:rsidRPr="008A5315">
              <w:t>0418***</w:t>
            </w:r>
          </w:p>
        </w:tc>
        <w:tc>
          <w:tcPr>
            <w:tcW w:w="796" w:type="pct"/>
            <w:tcBorders>
              <w:top w:val="nil"/>
              <w:left w:val="nil"/>
              <w:bottom w:val="nil"/>
              <w:right w:val="nil"/>
            </w:tcBorders>
            <w:shd w:val="clear" w:color="auto" w:fill="auto"/>
            <w:noWrap/>
            <w:vAlign w:val="center"/>
            <w:hideMark/>
          </w:tcPr>
          <w:p w14:paraId="28A05740" w14:textId="4E08764C" w:rsidR="00FB666F" w:rsidRPr="008A5315" w:rsidRDefault="002F135C" w:rsidP="00EA1772">
            <w:r w:rsidRPr="008A5315">
              <w:t xml:space="preserve">  </w:t>
            </w:r>
            <w:r w:rsidR="00FB666F" w:rsidRPr="008A5315">
              <w:t>0</w:t>
            </w:r>
            <w:r w:rsidR="00A66940" w:rsidRPr="008A5315">
              <w:t>,</w:t>
            </w:r>
            <w:r w:rsidR="00FB666F" w:rsidRPr="008A5315">
              <w:t>0418***</w:t>
            </w:r>
          </w:p>
        </w:tc>
        <w:tc>
          <w:tcPr>
            <w:tcW w:w="751" w:type="pct"/>
            <w:tcBorders>
              <w:top w:val="nil"/>
              <w:left w:val="nil"/>
              <w:bottom w:val="nil"/>
              <w:right w:val="nil"/>
            </w:tcBorders>
            <w:shd w:val="clear" w:color="auto" w:fill="auto"/>
            <w:noWrap/>
            <w:vAlign w:val="center"/>
            <w:hideMark/>
          </w:tcPr>
          <w:p w14:paraId="2A3FF6F6" w14:textId="6EE430C7" w:rsidR="00FB666F" w:rsidRPr="008A5315" w:rsidRDefault="002F135C" w:rsidP="00EA1772">
            <w:r w:rsidRPr="008A5315">
              <w:t xml:space="preserve"> </w:t>
            </w:r>
            <w:r w:rsidR="00FB666F" w:rsidRPr="008A5315">
              <w:t>0</w:t>
            </w:r>
            <w:r w:rsidR="00A66940" w:rsidRPr="008A5315">
              <w:t>,</w:t>
            </w:r>
            <w:r w:rsidR="00FB666F" w:rsidRPr="008A5315">
              <w:t>0040</w:t>
            </w:r>
          </w:p>
        </w:tc>
        <w:tc>
          <w:tcPr>
            <w:tcW w:w="751" w:type="pct"/>
            <w:tcBorders>
              <w:top w:val="nil"/>
              <w:left w:val="nil"/>
              <w:bottom w:val="nil"/>
              <w:right w:val="nil"/>
            </w:tcBorders>
            <w:shd w:val="clear" w:color="auto" w:fill="auto"/>
            <w:noWrap/>
            <w:vAlign w:val="center"/>
            <w:hideMark/>
          </w:tcPr>
          <w:p w14:paraId="72F2047F" w14:textId="38B2907C" w:rsidR="00FB666F" w:rsidRPr="008A5315" w:rsidRDefault="00FB666F" w:rsidP="00EA1772">
            <w:r w:rsidRPr="008A5315">
              <w:t>-0</w:t>
            </w:r>
            <w:r w:rsidR="00A66940" w:rsidRPr="008A5315">
              <w:t>,</w:t>
            </w:r>
            <w:r w:rsidRPr="008A5315">
              <w:t>0143***</w:t>
            </w:r>
          </w:p>
        </w:tc>
        <w:tc>
          <w:tcPr>
            <w:tcW w:w="981" w:type="pct"/>
            <w:tcBorders>
              <w:top w:val="nil"/>
              <w:left w:val="nil"/>
              <w:bottom w:val="nil"/>
              <w:right w:val="nil"/>
            </w:tcBorders>
            <w:shd w:val="clear" w:color="auto" w:fill="auto"/>
            <w:noWrap/>
            <w:vAlign w:val="center"/>
            <w:hideMark/>
          </w:tcPr>
          <w:p w14:paraId="49A360C4" w14:textId="3338DC5B" w:rsidR="00FB666F" w:rsidRPr="008A5315" w:rsidRDefault="002F135C" w:rsidP="00EA1772">
            <w:r w:rsidRPr="008A5315">
              <w:t xml:space="preserve">    </w:t>
            </w:r>
            <w:r w:rsidR="00FB666F" w:rsidRPr="008A5315">
              <w:t>0</w:t>
            </w:r>
            <w:r w:rsidR="00A66940" w:rsidRPr="008A5315">
              <w:t>,</w:t>
            </w:r>
            <w:r w:rsidR="00FB666F" w:rsidRPr="008A5315">
              <w:t>0072***</w:t>
            </w:r>
          </w:p>
        </w:tc>
      </w:tr>
      <w:tr w:rsidR="00132476" w:rsidRPr="008A5315" w14:paraId="3789B689" w14:textId="77777777" w:rsidTr="00EA1772">
        <w:trPr>
          <w:trHeight w:val="320"/>
        </w:trPr>
        <w:tc>
          <w:tcPr>
            <w:tcW w:w="971" w:type="pct"/>
            <w:tcBorders>
              <w:top w:val="nil"/>
              <w:left w:val="nil"/>
              <w:bottom w:val="nil"/>
              <w:right w:val="nil"/>
            </w:tcBorders>
            <w:shd w:val="clear" w:color="auto" w:fill="auto"/>
            <w:noWrap/>
            <w:vAlign w:val="center"/>
            <w:hideMark/>
          </w:tcPr>
          <w:p w14:paraId="4CB1104A" w14:textId="77777777" w:rsidR="00FB666F" w:rsidRPr="008A5315" w:rsidRDefault="00FB666F" w:rsidP="00EA1772">
            <w:pPr>
              <w:jc w:val="center"/>
              <w:rPr>
                <w:i/>
                <w:iCs/>
              </w:rPr>
            </w:pPr>
            <w:r w:rsidRPr="008A5315">
              <w:rPr>
                <w:i/>
                <w:iCs/>
              </w:rPr>
              <w:t>D2011</w:t>
            </w:r>
          </w:p>
        </w:tc>
        <w:tc>
          <w:tcPr>
            <w:tcW w:w="751" w:type="pct"/>
            <w:tcBorders>
              <w:top w:val="nil"/>
              <w:left w:val="nil"/>
              <w:bottom w:val="nil"/>
              <w:right w:val="nil"/>
            </w:tcBorders>
            <w:shd w:val="clear" w:color="auto" w:fill="auto"/>
            <w:noWrap/>
            <w:vAlign w:val="center"/>
            <w:hideMark/>
          </w:tcPr>
          <w:p w14:paraId="3FCAC093" w14:textId="5D4A52DD" w:rsidR="00FB666F" w:rsidRPr="008A5315" w:rsidRDefault="00FB666F" w:rsidP="00EA1772">
            <w:r w:rsidRPr="008A5315">
              <w:t>0</w:t>
            </w:r>
            <w:r w:rsidR="00A66940" w:rsidRPr="008A5315">
              <w:t>,</w:t>
            </w:r>
            <w:r w:rsidRPr="008A5315">
              <w:t>0468***</w:t>
            </w:r>
          </w:p>
        </w:tc>
        <w:tc>
          <w:tcPr>
            <w:tcW w:w="796" w:type="pct"/>
            <w:tcBorders>
              <w:top w:val="nil"/>
              <w:left w:val="nil"/>
              <w:bottom w:val="nil"/>
              <w:right w:val="nil"/>
            </w:tcBorders>
            <w:shd w:val="clear" w:color="auto" w:fill="auto"/>
            <w:noWrap/>
            <w:vAlign w:val="center"/>
            <w:hideMark/>
          </w:tcPr>
          <w:p w14:paraId="604A8B23" w14:textId="1CF5D756" w:rsidR="00FB666F" w:rsidRPr="008A5315" w:rsidRDefault="002F135C" w:rsidP="00EA1772">
            <w:r w:rsidRPr="008A5315">
              <w:t xml:space="preserve">  </w:t>
            </w:r>
            <w:r w:rsidR="00FB666F" w:rsidRPr="008A5315">
              <w:t>0</w:t>
            </w:r>
            <w:r w:rsidR="00A66940" w:rsidRPr="008A5315">
              <w:t>,</w:t>
            </w:r>
            <w:r w:rsidR="00FB666F" w:rsidRPr="008A5315">
              <w:t>0468***</w:t>
            </w:r>
          </w:p>
        </w:tc>
        <w:tc>
          <w:tcPr>
            <w:tcW w:w="751" w:type="pct"/>
            <w:tcBorders>
              <w:top w:val="nil"/>
              <w:left w:val="nil"/>
              <w:bottom w:val="nil"/>
              <w:right w:val="nil"/>
            </w:tcBorders>
            <w:shd w:val="clear" w:color="auto" w:fill="auto"/>
            <w:noWrap/>
            <w:vAlign w:val="center"/>
            <w:hideMark/>
          </w:tcPr>
          <w:p w14:paraId="26C89F59" w14:textId="43302FC3" w:rsidR="00FB666F" w:rsidRPr="008A5315" w:rsidRDefault="002F135C" w:rsidP="00EA1772">
            <w:r w:rsidRPr="008A5315">
              <w:t xml:space="preserve"> </w:t>
            </w:r>
            <w:r w:rsidR="00FB666F" w:rsidRPr="008A5315">
              <w:t>0</w:t>
            </w:r>
            <w:r w:rsidR="00A66940" w:rsidRPr="008A5315">
              <w:t>,</w:t>
            </w:r>
            <w:r w:rsidR="00FB666F" w:rsidRPr="008A5315">
              <w:t>0015</w:t>
            </w:r>
          </w:p>
        </w:tc>
        <w:tc>
          <w:tcPr>
            <w:tcW w:w="751" w:type="pct"/>
            <w:tcBorders>
              <w:top w:val="nil"/>
              <w:left w:val="nil"/>
              <w:bottom w:val="nil"/>
              <w:right w:val="nil"/>
            </w:tcBorders>
            <w:shd w:val="clear" w:color="auto" w:fill="auto"/>
            <w:noWrap/>
            <w:vAlign w:val="center"/>
            <w:hideMark/>
          </w:tcPr>
          <w:p w14:paraId="7995E6CE" w14:textId="0A2F49D0" w:rsidR="00FB666F" w:rsidRPr="008A5315" w:rsidRDefault="00FB666F" w:rsidP="00EA1772">
            <w:r w:rsidRPr="008A5315">
              <w:t>-0</w:t>
            </w:r>
            <w:r w:rsidR="00A66940" w:rsidRPr="008A5315">
              <w:t>,</w:t>
            </w:r>
            <w:r w:rsidRPr="008A5315">
              <w:t>0075***</w:t>
            </w:r>
          </w:p>
        </w:tc>
        <w:tc>
          <w:tcPr>
            <w:tcW w:w="981" w:type="pct"/>
            <w:tcBorders>
              <w:top w:val="nil"/>
              <w:left w:val="nil"/>
              <w:bottom w:val="nil"/>
              <w:right w:val="nil"/>
            </w:tcBorders>
            <w:shd w:val="clear" w:color="auto" w:fill="auto"/>
            <w:noWrap/>
            <w:vAlign w:val="center"/>
            <w:hideMark/>
          </w:tcPr>
          <w:p w14:paraId="06C46600" w14:textId="4AB9ED88" w:rsidR="00FB666F" w:rsidRPr="008A5315" w:rsidRDefault="002F135C" w:rsidP="00EA1772">
            <w:r w:rsidRPr="008A5315">
              <w:t xml:space="preserve">    </w:t>
            </w:r>
            <w:r w:rsidR="00FB666F" w:rsidRPr="008A5315">
              <w:t>0</w:t>
            </w:r>
            <w:r w:rsidR="00A66940" w:rsidRPr="008A5315">
              <w:t>,</w:t>
            </w:r>
            <w:r w:rsidR="00FB666F" w:rsidRPr="008A5315">
              <w:t>0044*</w:t>
            </w:r>
          </w:p>
        </w:tc>
      </w:tr>
      <w:tr w:rsidR="00132476" w:rsidRPr="008A5315" w14:paraId="699F73C9" w14:textId="77777777" w:rsidTr="00EA1772">
        <w:trPr>
          <w:trHeight w:val="320"/>
        </w:trPr>
        <w:tc>
          <w:tcPr>
            <w:tcW w:w="971" w:type="pct"/>
            <w:tcBorders>
              <w:top w:val="nil"/>
              <w:left w:val="nil"/>
              <w:bottom w:val="nil"/>
              <w:right w:val="nil"/>
            </w:tcBorders>
            <w:shd w:val="clear" w:color="auto" w:fill="auto"/>
            <w:noWrap/>
            <w:vAlign w:val="center"/>
            <w:hideMark/>
          </w:tcPr>
          <w:p w14:paraId="392C89E0" w14:textId="77777777" w:rsidR="00FB666F" w:rsidRPr="008A5315" w:rsidRDefault="00FB666F" w:rsidP="00EA1772">
            <w:pPr>
              <w:jc w:val="center"/>
              <w:rPr>
                <w:i/>
                <w:iCs/>
              </w:rPr>
            </w:pPr>
            <w:r w:rsidRPr="008A5315">
              <w:rPr>
                <w:i/>
                <w:iCs/>
              </w:rPr>
              <w:t>D2012</w:t>
            </w:r>
          </w:p>
        </w:tc>
        <w:tc>
          <w:tcPr>
            <w:tcW w:w="751" w:type="pct"/>
            <w:tcBorders>
              <w:top w:val="nil"/>
              <w:left w:val="nil"/>
              <w:bottom w:val="nil"/>
              <w:right w:val="nil"/>
            </w:tcBorders>
            <w:shd w:val="clear" w:color="auto" w:fill="auto"/>
            <w:noWrap/>
            <w:vAlign w:val="center"/>
            <w:hideMark/>
          </w:tcPr>
          <w:p w14:paraId="7CB2239F" w14:textId="5C63F623" w:rsidR="00FB666F" w:rsidRPr="008A5315" w:rsidRDefault="00FB666F" w:rsidP="00EA1772">
            <w:r w:rsidRPr="008A5315">
              <w:t>0</w:t>
            </w:r>
            <w:r w:rsidR="00A66940" w:rsidRPr="008A5315">
              <w:t>,</w:t>
            </w:r>
            <w:r w:rsidRPr="008A5315">
              <w:t>0535***</w:t>
            </w:r>
          </w:p>
        </w:tc>
        <w:tc>
          <w:tcPr>
            <w:tcW w:w="796" w:type="pct"/>
            <w:tcBorders>
              <w:top w:val="nil"/>
              <w:left w:val="nil"/>
              <w:bottom w:val="nil"/>
              <w:right w:val="nil"/>
            </w:tcBorders>
            <w:shd w:val="clear" w:color="auto" w:fill="auto"/>
            <w:noWrap/>
            <w:vAlign w:val="center"/>
            <w:hideMark/>
          </w:tcPr>
          <w:p w14:paraId="590D9561" w14:textId="6661870A" w:rsidR="00FB666F" w:rsidRPr="008A5315" w:rsidRDefault="002F135C" w:rsidP="00EA1772">
            <w:r w:rsidRPr="008A5315">
              <w:t xml:space="preserve">  </w:t>
            </w:r>
            <w:r w:rsidR="00FB666F" w:rsidRPr="008A5315">
              <w:t>0</w:t>
            </w:r>
            <w:r w:rsidR="00A66940" w:rsidRPr="008A5315">
              <w:t>,</w:t>
            </w:r>
            <w:r w:rsidR="00FB666F" w:rsidRPr="008A5315">
              <w:t>0535***</w:t>
            </w:r>
          </w:p>
        </w:tc>
        <w:tc>
          <w:tcPr>
            <w:tcW w:w="751" w:type="pct"/>
            <w:tcBorders>
              <w:top w:val="nil"/>
              <w:left w:val="nil"/>
              <w:bottom w:val="nil"/>
              <w:right w:val="nil"/>
            </w:tcBorders>
            <w:shd w:val="clear" w:color="auto" w:fill="auto"/>
            <w:noWrap/>
            <w:vAlign w:val="center"/>
            <w:hideMark/>
          </w:tcPr>
          <w:p w14:paraId="79288593" w14:textId="527ED747" w:rsidR="00FB666F" w:rsidRPr="008A5315" w:rsidRDefault="002F135C" w:rsidP="00EA1772">
            <w:r w:rsidRPr="008A5315">
              <w:t xml:space="preserve"> </w:t>
            </w:r>
            <w:r w:rsidR="00FB666F" w:rsidRPr="008A5315">
              <w:t>0</w:t>
            </w:r>
            <w:r w:rsidR="00A66940" w:rsidRPr="008A5315">
              <w:t>,</w:t>
            </w:r>
            <w:r w:rsidR="00FB666F" w:rsidRPr="008A5315">
              <w:t>0013</w:t>
            </w:r>
          </w:p>
        </w:tc>
        <w:tc>
          <w:tcPr>
            <w:tcW w:w="751" w:type="pct"/>
            <w:tcBorders>
              <w:top w:val="nil"/>
              <w:left w:val="nil"/>
              <w:bottom w:val="nil"/>
              <w:right w:val="nil"/>
            </w:tcBorders>
            <w:shd w:val="clear" w:color="auto" w:fill="auto"/>
            <w:noWrap/>
            <w:vAlign w:val="center"/>
            <w:hideMark/>
          </w:tcPr>
          <w:p w14:paraId="2299425A" w14:textId="3D83B4A1" w:rsidR="00FB666F" w:rsidRPr="008A5315" w:rsidRDefault="00FB666F" w:rsidP="00EA1772">
            <w:r w:rsidRPr="008A5315">
              <w:t>-0</w:t>
            </w:r>
            <w:r w:rsidR="00A66940" w:rsidRPr="008A5315">
              <w:t>,</w:t>
            </w:r>
            <w:r w:rsidRPr="008A5315">
              <w:t>0056***</w:t>
            </w:r>
          </w:p>
        </w:tc>
        <w:tc>
          <w:tcPr>
            <w:tcW w:w="981" w:type="pct"/>
            <w:tcBorders>
              <w:top w:val="nil"/>
              <w:left w:val="nil"/>
              <w:bottom w:val="nil"/>
              <w:right w:val="nil"/>
            </w:tcBorders>
            <w:shd w:val="clear" w:color="auto" w:fill="auto"/>
            <w:noWrap/>
            <w:vAlign w:val="center"/>
            <w:hideMark/>
          </w:tcPr>
          <w:p w14:paraId="6C934A8A" w14:textId="26447AB4" w:rsidR="00FB666F" w:rsidRPr="008A5315" w:rsidRDefault="002F135C" w:rsidP="00EA1772">
            <w:r w:rsidRPr="008A5315">
              <w:t xml:space="preserve">    </w:t>
            </w:r>
            <w:r w:rsidR="00FB666F" w:rsidRPr="008A5315">
              <w:t>0</w:t>
            </w:r>
            <w:r w:rsidR="00A66940" w:rsidRPr="008A5315">
              <w:t>,</w:t>
            </w:r>
            <w:r w:rsidR="00FB666F" w:rsidRPr="008A5315">
              <w:t>0039</w:t>
            </w:r>
          </w:p>
        </w:tc>
      </w:tr>
      <w:tr w:rsidR="00132476" w:rsidRPr="008A5315" w14:paraId="75D92B5C" w14:textId="77777777" w:rsidTr="00EA1772">
        <w:trPr>
          <w:trHeight w:val="320"/>
        </w:trPr>
        <w:tc>
          <w:tcPr>
            <w:tcW w:w="971" w:type="pct"/>
            <w:tcBorders>
              <w:top w:val="nil"/>
              <w:left w:val="nil"/>
              <w:bottom w:val="nil"/>
              <w:right w:val="nil"/>
            </w:tcBorders>
            <w:shd w:val="clear" w:color="auto" w:fill="auto"/>
            <w:noWrap/>
            <w:vAlign w:val="center"/>
            <w:hideMark/>
          </w:tcPr>
          <w:p w14:paraId="2529D657" w14:textId="77777777" w:rsidR="00FB666F" w:rsidRPr="008A5315" w:rsidRDefault="00FB666F" w:rsidP="00EA1772">
            <w:pPr>
              <w:jc w:val="center"/>
              <w:rPr>
                <w:i/>
                <w:iCs/>
              </w:rPr>
            </w:pPr>
            <w:r w:rsidRPr="008A5315">
              <w:rPr>
                <w:i/>
                <w:iCs/>
              </w:rPr>
              <w:t>D2013</w:t>
            </w:r>
          </w:p>
        </w:tc>
        <w:tc>
          <w:tcPr>
            <w:tcW w:w="751" w:type="pct"/>
            <w:tcBorders>
              <w:top w:val="nil"/>
              <w:left w:val="nil"/>
              <w:bottom w:val="nil"/>
              <w:right w:val="nil"/>
            </w:tcBorders>
            <w:shd w:val="clear" w:color="auto" w:fill="auto"/>
            <w:noWrap/>
            <w:vAlign w:val="center"/>
            <w:hideMark/>
          </w:tcPr>
          <w:p w14:paraId="511085CC" w14:textId="47D6FF84" w:rsidR="00FB666F" w:rsidRPr="008A5315" w:rsidRDefault="00FB666F" w:rsidP="00EA1772">
            <w:r w:rsidRPr="008A5315">
              <w:t>0</w:t>
            </w:r>
            <w:r w:rsidR="00A66940" w:rsidRPr="008A5315">
              <w:t>,</w:t>
            </w:r>
            <w:r w:rsidRPr="008A5315">
              <w:t>0583***</w:t>
            </w:r>
          </w:p>
        </w:tc>
        <w:tc>
          <w:tcPr>
            <w:tcW w:w="796" w:type="pct"/>
            <w:tcBorders>
              <w:top w:val="nil"/>
              <w:left w:val="nil"/>
              <w:bottom w:val="nil"/>
              <w:right w:val="nil"/>
            </w:tcBorders>
            <w:shd w:val="clear" w:color="auto" w:fill="auto"/>
            <w:noWrap/>
            <w:vAlign w:val="center"/>
            <w:hideMark/>
          </w:tcPr>
          <w:p w14:paraId="01E9B3D0" w14:textId="2E6FD49F" w:rsidR="00FB666F" w:rsidRPr="008A5315" w:rsidRDefault="002F135C" w:rsidP="00EA1772">
            <w:r w:rsidRPr="008A5315">
              <w:t xml:space="preserve">  </w:t>
            </w:r>
            <w:r w:rsidR="00FB666F" w:rsidRPr="008A5315">
              <w:t>0</w:t>
            </w:r>
            <w:r w:rsidR="00A66940" w:rsidRPr="008A5315">
              <w:t>,</w:t>
            </w:r>
            <w:r w:rsidR="00FB666F" w:rsidRPr="008A5315">
              <w:t>0583***</w:t>
            </w:r>
          </w:p>
        </w:tc>
        <w:tc>
          <w:tcPr>
            <w:tcW w:w="751" w:type="pct"/>
            <w:tcBorders>
              <w:top w:val="nil"/>
              <w:left w:val="nil"/>
              <w:bottom w:val="nil"/>
              <w:right w:val="nil"/>
            </w:tcBorders>
            <w:shd w:val="clear" w:color="auto" w:fill="auto"/>
            <w:noWrap/>
            <w:vAlign w:val="center"/>
            <w:hideMark/>
          </w:tcPr>
          <w:p w14:paraId="7DA3D7B9" w14:textId="45F44956" w:rsidR="00FB666F" w:rsidRPr="008A5315" w:rsidRDefault="00FB666F" w:rsidP="00EA1772">
            <w:r w:rsidRPr="008A5315">
              <w:t>-0</w:t>
            </w:r>
            <w:r w:rsidR="00A66940" w:rsidRPr="008A5315">
              <w:t>,</w:t>
            </w:r>
            <w:r w:rsidRPr="008A5315">
              <w:t>0003</w:t>
            </w:r>
          </w:p>
        </w:tc>
        <w:tc>
          <w:tcPr>
            <w:tcW w:w="751" w:type="pct"/>
            <w:tcBorders>
              <w:top w:val="nil"/>
              <w:left w:val="nil"/>
              <w:bottom w:val="nil"/>
              <w:right w:val="nil"/>
            </w:tcBorders>
            <w:shd w:val="clear" w:color="auto" w:fill="auto"/>
            <w:noWrap/>
            <w:vAlign w:val="center"/>
            <w:hideMark/>
          </w:tcPr>
          <w:p w14:paraId="1197D803" w14:textId="56242D18" w:rsidR="00FB666F" w:rsidRPr="008A5315" w:rsidRDefault="00FB666F" w:rsidP="00EA1772">
            <w:r w:rsidRPr="008A5315">
              <w:t>-0</w:t>
            </w:r>
            <w:r w:rsidR="00A66940" w:rsidRPr="008A5315">
              <w:t>,</w:t>
            </w:r>
            <w:r w:rsidRPr="008A5315">
              <w:t>0023**</w:t>
            </w:r>
          </w:p>
        </w:tc>
        <w:tc>
          <w:tcPr>
            <w:tcW w:w="981" w:type="pct"/>
            <w:tcBorders>
              <w:top w:val="nil"/>
              <w:left w:val="nil"/>
              <w:bottom w:val="nil"/>
              <w:right w:val="nil"/>
            </w:tcBorders>
            <w:shd w:val="clear" w:color="auto" w:fill="auto"/>
            <w:noWrap/>
            <w:vAlign w:val="center"/>
            <w:hideMark/>
          </w:tcPr>
          <w:p w14:paraId="0946A29E" w14:textId="0173183F" w:rsidR="00FB666F" w:rsidRPr="008A5315" w:rsidRDefault="002F135C" w:rsidP="00EA1772">
            <w:r w:rsidRPr="008A5315">
              <w:t xml:space="preserve">    </w:t>
            </w:r>
            <w:r w:rsidR="00FB666F" w:rsidRPr="008A5315">
              <w:t>0</w:t>
            </w:r>
            <w:r w:rsidR="00A66940" w:rsidRPr="008A5315">
              <w:t>,</w:t>
            </w:r>
            <w:r w:rsidR="00FB666F" w:rsidRPr="008A5315">
              <w:t>0013</w:t>
            </w:r>
          </w:p>
        </w:tc>
      </w:tr>
      <w:tr w:rsidR="00132476" w:rsidRPr="008A5315" w14:paraId="74A6919A" w14:textId="77777777" w:rsidTr="00EA1772">
        <w:trPr>
          <w:trHeight w:val="320"/>
        </w:trPr>
        <w:tc>
          <w:tcPr>
            <w:tcW w:w="971" w:type="pct"/>
            <w:tcBorders>
              <w:top w:val="nil"/>
              <w:left w:val="nil"/>
              <w:bottom w:val="nil"/>
              <w:right w:val="nil"/>
            </w:tcBorders>
            <w:shd w:val="clear" w:color="auto" w:fill="auto"/>
            <w:noWrap/>
            <w:vAlign w:val="center"/>
            <w:hideMark/>
          </w:tcPr>
          <w:p w14:paraId="27616FD2" w14:textId="77777777" w:rsidR="00FB666F" w:rsidRPr="008A5315" w:rsidRDefault="00FB666F" w:rsidP="00EA1772">
            <w:pPr>
              <w:jc w:val="center"/>
              <w:rPr>
                <w:i/>
                <w:iCs/>
              </w:rPr>
            </w:pPr>
            <w:r w:rsidRPr="008A5315">
              <w:rPr>
                <w:i/>
                <w:iCs/>
              </w:rPr>
              <w:t>D2014</w:t>
            </w:r>
          </w:p>
        </w:tc>
        <w:tc>
          <w:tcPr>
            <w:tcW w:w="751" w:type="pct"/>
            <w:tcBorders>
              <w:top w:val="nil"/>
              <w:left w:val="nil"/>
              <w:bottom w:val="nil"/>
              <w:right w:val="nil"/>
            </w:tcBorders>
            <w:shd w:val="clear" w:color="auto" w:fill="auto"/>
            <w:noWrap/>
            <w:vAlign w:val="center"/>
            <w:hideMark/>
          </w:tcPr>
          <w:p w14:paraId="600B8774" w14:textId="179EE07E" w:rsidR="00FB666F" w:rsidRPr="008A5315" w:rsidRDefault="00FB666F" w:rsidP="00EA1772">
            <w:r w:rsidRPr="008A5315">
              <w:t>0</w:t>
            </w:r>
            <w:r w:rsidR="00A66940" w:rsidRPr="008A5315">
              <w:t>,</w:t>
            </w:r>
            <w:r w:rsidRPr="008A5315">
              <w:t>0569***</w:t>
            </w:r>
          </w:p>
        </w:tc>
        <w:tc>
          <w:tcPr>
            <w:tcW w:w="796" w:type="pct"/>
            <w:tcBorders>
              <w:top w:val="nil"/>
              <w:left w:val="nil"/>
              <w:bottom w:val="nil"/>
              <w:right w:val="nil"/>
            </w:tcBorders>
            <w:shd w:val="clear" w:color="auto" w:fill="auto"/>
            <w:noWrap/>
            <w:vAlign w:val="center"/>
            <w:hideMark/>
          </w:tcPr>
          <w:p w14:paraId="355867E0" w14:textId="15D8C7C6" w:rsidR="00FB666F" w:rsidRPr="008A5315" w:rsidRDefault="002F135C" w:rsidP="00EA1772">
            <w:r w:rsidRPr="008A5315">
              <w:t xml:space="preserve">  </w:t>
            </w:r>
            <w:r w:rsidR="00FB666F" w:rsidRPr="008A5315">
              <w:t>0</w:t>
            </w:r>
            <w:r w:rsidR="00A66940" w:rsidRPr="008A5315">
              <w:t>,</w:t>
            </w:r>
            <w:r w:rsidR="00FB666F" w:rsidRPr="008A5315">
              <w:t>0569***</w:t>
            </w:r>
          </w:p>
        </w:tc>
        <w:tc>
          <w:tcPr>
            <w:tcW w:w="751" w:type="pct"/>
            <w:tcBorders>
              <w:top w:val="nil"/>
              <w:left w:val="nil"/>
              <w:bottom w:val="nil"/>
              <w:right w:val="nil"/>
            </w:tcBorders>
            <w:shd w:val="clear" w:color="auto" w:fill="auto"/>
            <w:noWrap/>
            <w:vAlign w:val="center"/>
            <w:hideMark/>
          </w:tcPr>
          <w:p w14:paraId="1B95C415" w14:textId="0F4A39C3" w:rsidR="00FB666F" w:rsidRPr="008A5315" w:rsidRDefault="00FB666F" w:rsidP="00EA1772">
            <w:r w:rsidRPr="008A5315">
              <w:t>-0</w:t>
            </w:r>
            <w:r w:rsidR="00A66940" w:rsidRPr="008A5315">
              <w:t>,</w:t>
            </w:r>
            <w:r w:rsidRPr="008A5315">
              <w:t>0083**</w:t>
            </w:r>
          </w:p>
        </w:tc>
        <w:tc>
          <w:tcPr>
            <w:tcW w:w="751" w:type="pct"/>
            <w:tcBorders>
              <w:top w:val="nil"/>
              <w:left w:val="nil"/>
              <w:bottom w:val="nil"/>
              <w:right w:val="nil"/>
            </w:tcBorders>
            <w:shd w:val="clear" w:color="auto" w:fill="auto"/>
            <w:noWrap/>
            <w:vAlign w:val="center"/>
            <w:hideMark/>
          </w:tcPr>
          <w:p w14:paraId="5B902CF3" w14:textId="077AE94F" w:rsidR="00FB666F" w:rsidRPr="008A5315" w:rsidRDefault="00FB666F" w:rsidP="00EA1772">
            <w:r w:rsidRPr="008A5315">
              <w:t>-0</w:t>
            </w:r>
            <w:r w:rsidR="00A66940" w:rsidRPr="008A5315">
              <w:t>,</w:t>
            </w:r>
            <w:r w:rsidRPr="008A5315">
              <w:t>0166***</w:t>
            </w:r>
          </w:p>
        </w:tc>
        <w:tc>
          <w:tcPr>
            <w:tcW w:w="981" w:type="pct"/>
            <w:tcBorders>
              <w:top w:val="nil"/>
              <w:left w:val="nil"/>
              <w:bottom w:val="nil"/>
              <w:right w:val="nil"/>
            </w:tcBorders>
            <w:shd w:val="clear" w:color="auto" w:fill="auto"/>
            <w:noWrap/>
            <w:vAlign w:val="center"/>
            <w:hideMark/>
          </w:tcPr>
          <w:p w14:paraId="45193F84" w14:textId="318933CA" w:rsidR="00FB666F" w:rsidRPr="008A5315" w:rsidRDefault="002F135C" w:rsidP="00EA1772">
            <w:r w:rsidRPr="008A5315">
              <w:t xml:space="preserve">   </w:t>
            </w:r>
            <w:r w:rsidR="00FB666F" w:rsidRPr="008A5315">
              <w:t>-0</w:t>
            </w:r>
            <w:r w:rsidR="00A66940" w:rsidRPr="008A5315">
              <w:t>,</w:t>
            </w:r>
            <w:r w:rsidR="00FB666F" w:rsidRPr="008A5315">
              <w:t>0074**</w:t>
            </w:r>
          </w:p>
        </w:tc>
      </w:tr>
      <w:tr w:rsidR="00132476" w:rsidRPr="008A5315" w14:paraId="22F27BD1" w14:textId="77777777" w:rsidTr="00EA1772">
        <w:trPr>
          <w:trHeight w:val="320"/>
        </w:trPr>
        <w:tc>
          <w:tcPr>
            <w:tcW w:w="971" w:type="pct"/>
            <w:tcBorders>
              <w:top w:val="nil"/>
              <w:left w:val="nil"/>
              <w:right w:val="nil"/>
            </w:tcBorders>
            <w:shd w:val="clear" w:color="auto" w:fill="auto"/>
            <w:noWrap/>
            <w:vAlign w:val="center"/>
            <w:hideMark/>
          </w:tcPr>
          <w:p w14:paraId="352CBB4E" w14:textId="77777777" w:rsidR="00FB666F" w:rsidRPr="008A5315" w:rsidRDefault="00FB666F" w:rsidP="00EA1772">
            <w:pPr>
              <w:jc w:val="center"/>
              <w:rPr>
                <w:i/>
                <w:iCs/>
              </w:rPr>
            </w:pPr>
            <w:r w:rsidRPr="008A5315">
              <w:rPr>
                <w:i/>
                <w:iCs/>
              </w:rPr>
              <w:t>D2015</w:t>
            </w:r>
          </w:p>
        </w:tc>
        <w:tc>
          <w:tcPr>
            <w:tcW w:w="751" w:type="pct"/>
            <w:tcBorders>
              <w:top w:val="nil"/>
              <w:left w:val="nil"/>
              <w:right w:val="nil"/>
            </w:tcBorders>
            <w:shd w:val="clear" w:color="auto" w:fill="auto"/>
            <w:noWrap/>
            <w:vAlign w:val="center"/>
            <w:hideMark/>
          </w:tcPr>
          <w:p w14:paraId="101A6AA4" w14:textId="217E8EA2" w:rsidR="00FB666F" w:rsidRPr="008A5315" w:rsidRDefault="00FB666F" w:rsidP="00EA1772">
            <w:r w:rsidRPr="008A5315">
              <w:t>0</w:t>
            </w:r>
            <w:r w:rsidR="00A66940" w:rsidRPr="008A5315">
              <w:t>,</w:t>
            </w:r>
            <w:r w:rsidRPr="008A5315">
              <w:t>0455***</w:t>
            </w:r>
          </w:p>
        </w:tc>
        <w:tc>
          <w:tcPr>
            <w:tcW w:w="796" w:type="pct"/>
            <w:tcBorders>
              <w:top w:val="nil"/>
              <w:left w:val="nil"/>
              <w:right w:val="nil"/>
            </w:tcBorders>
            <w:shd w:val="clear" w:color="auto" w:fill="auto"/>
            <w:noWrap/>
            <w:vAlign w:val="center"/>
            <w:hideMark/>
          </w:tcPr>
          <w:p w14:paraId="6079DE1B" w14:textId="6F864045" w:rsidR="00FB666F" w:rsidRPr="008A5315" w:rsidRDefault="002F135C" w:rsidP="00EA1772">
            <w:r w:rsidRPr="008A5315">
              <w:t xml:space="preserve">  </w:t>
            </w:r>
            <w:r w:rsidR="00FB666F" w:rsidRPr="008A5315">
              <w:t>0</w:t>
            </w:r>
            <w:r w:rsidR="00A66940" w:rsidRPr="008A5315">
              <w:t>,</w:t>
            </w:r>
            <w:r w:rsidR="00FB666F" w:rsidRPr="008A5315">
              <w:t>0455***</w:t>
            </w:r>
          </w:p>
        </w:tc>
        <w:tc>
          <w:tcPr>
            <w:tcW w:w="751" w:type="pct"/>
            <w:tcBorders>
              <w:top w:val="nil"/>
              <w:left w:val="nil"/>
              <w:right w:val="nil"/>
            </w:tcBorders>
            <w:shd w:val="clear" w:color="auto" w:fill="auto"/>
            <w:noWrap/>
            <w:vAlign w:val="center"/>
            <w:hideMark/>
          </w:tcPr>
          <w:p w14:paraId="3E4AAB6B" w14:textId="5B10818E" w:rsidR="00FB666F" w:rsidRPr="008A5315" w:rsidRDefault="00FB666F" w:rsidP="00EA1772">
            <w:r w:rsidRPr="008A5315">
              <w:t>-0</w:t>
            </w:r>
            <w:r w:rsidR="00A66940" w:rsidRPr="008A5315">
              <w:t>,</w:t>
            </w:r>
            <w:r w:rsidRPr="008A5315">
              <w:t>0263***</w:t>
            </w:r>
          </w:p>
        </w:tc>
        <w:tc>
          <w:tcPr>
            <w:tcW w:w="751" w:type="pct"/>
            <w:tcBorders>
              <w:top w:val="nil"/>
              <w:left w:val="nil"/>
              <w:right w:val="nil"/>
            </w:tcBorders>
            <w:shd w:val="clear" w:color="auto" w:fill="auto"/>
            <w:noWrap/>
            <w:vAlign w:val="center"/>
            <w:hideMark/>
          </w:tcPr>
          <w:p w14:paraId="519EFA24" w14:textId="7550B0A1" w:rsidR="00FB666F" w:rsidRPr="008A5315" w:rsidRDefault="00FB666F" w:rsidP="00EA1772">
            <w:r w:rsidRPr="008A5315">
              <w:t>-0</w:t>
            </w:r>
            <w:r w:rsidR="00A66940" w:rsidRPr="008A5315">
              <w:t>,</w:t>
            </w:r>
            <w:r w:rsidRPr="008A5315">
              <w:t>0214***</w:t>
            </w:r>
          </w:p>
        </w:tc>
        <w:tc>
          <w:tcPr>
            <w:tcW w:w="981" w:type="pct"/>
            <w:tcBorders>
              <w:top w:val="nil"/>
              <w:left w:val="nil"/>
              <w:right w:val="nil"/>
            </w:tcBorders>
            <w:shd w:val="clear" w:color="auto" w:fill="auto"/>
            <w:noWrap/>
            <w:vAlign w:val="center"/>
            <w:hideMark/>
          </w:tcPr>
          <w:p w14:paraId="5AEF21DA" w14:textId="31D3F877" w:rsidR="00FB666F" w:rsidRPr="008A5315" w:rsidRDefault="002F135C" w:rsidP="00EA1772">
            <w:r w:rsidRPr="008A5315">
              <w:t xml:space="preserve">   </w:t>
            </w:r>
            <w:r w:rsidR="00FB666F" w:rsidRPr="008A5315">
              <w:t>-0</w:t>
            </w:r>
            <w:r w:rsidR="00A66940" w:rsidRPr="008A5315">
              <w:t>,</w:t>
            </w:r>
            <w:r w:rsidR="00FB666F" w:rsidRPr="008A5315">
              <w:t>0251***</w:t>
            </w:r>
          </w:p>
        </w:tc>
      </w:tr>
      <w:tr w:rsidR="00132476" w:rsidRPr="008A5315" w14:paraId="30D306D3" w14:textId="77777777" w:rsidTr="00EA1772">
        <w:trPr>
          <w:trHeight w:val="320"/>
        </w:trPr>
        <w:tc>
          <w:tcPr>
            <w:tcW w:w="971" w:type="pct"/>
            <w:tcBorders>
              <w:top w:val="nil"/>
              <w:left w:val="nil"/>
              <w:bottom w:val="single" w:sz="4" w:space="0" w:color="auto"/>
              <w:right w:val="nil"/>
            </w:tcBorders>
            <w:shd w:val="clear" w:color="auto" w:fill="auto"/>
            <w:noWrap/>
            <w:vAlign w:val="center"/>
            <w:hideMark/>
          </w:tcPr>
          <w:p w14:paraId="4B84CFAD" w14:textId="77777777" w:rsidR="00FB666F" w:rsidRPr="008A5315" w:rsidRDefault="00FB666F">
            <w:pPr>
              <w:rPr>
                <w:i/>
                <w:iCs/>
              </w:rPr>
            </w:pPr>
            <w:r w:rsidRPr="008A5315">
              <w:rPr>
                <w:i/>
                <w:iCs/>
              </w:rPr>
              <w:lastRenderedPageBreak/>
              <w:t>Constante</w:t>
            </w:r>
          </w:p>
        </w:tc>
        <w:tc>
          <w:tcPr>
            <w:tcW w:w="751" w:type="pct"/>
            <w:tcBorders>
              <w:top w:val="nil"/>
              <w:left w:val="nil"/>
              <w:bottom w:val="single" w:sz="4" w:space="0" w:color="auto"/>
              <w:right w:val="nil"/>
            </w:tcBorders>
            <w:shd w:val="clear" w:color="auto" w:fill="auto"/>
            <w:noWrap/>
            <w:vAlign w:val="center"/>
            <w:hideMark/>
          </w:tcPr>
          <w:p w14:paraId="411FF604" w14:textId="57E72A63" w:rsidR="00FB666F" w:rsidRPr="008A5315" w:rsidRDefault="00FB666F" w:rsidP="00EA1772">
            <w:r w:rsidRPr="008A5315">
              <w:t>0</w:t>
            </w:r>
            <w:r w:rsidR="00A66940" w:rsidRPr="008A5315">
              <w:t>,</w:t>
            </w:r>
            <w:r w:rsidRPr="008A5315">
              <w:t>9290***</w:t>
            </w:r>
          </w:p>
        </w:tc>
        <w:tc>
          <w:tcPr>
            <w:tcW w:w="796" w:type="pct"/>
            <w:tcBorders>
              <w:top w:val="nil"/>
              <w:left w:val="nil"/>
              <w:bottom w:val="single" w:sz="4" w:space="0" w:color="auto"/>
              <w:right w:val="nil"/>
            </w:tcBorders>
            <w:shd w:val="clear" w:color="auto" w:fill="auto"/>
            <w:noWrap/>
            <w:vAlign w:val="center"/>
            <w:hideMark/>
          </w:tcPr>
          <w:p w14:paraId="022DCCF3" w14:textId="53780E07" w:rsidR="00FB666F" w:rsidRPr="008A5315" w:rsidRDefault="002F135C" w:rsidP="00EA1772">
            <w:r w:rsidRPr="008A5315">
              <w:t xml:space="preserve">  </w:t>
            </w:r>
            <w:r w:rsidR="00FB666F" w:rsidRPr="008A5315">
              <w:t>0</w:t>
            </w:r>
            <w:r w:rsidR="00A66940" w:rsidRPr="008A5315">
              <w:t>,</w:t>
            </w:r>
            <w:r w:rsidR="00FB666F" w:rsidRPr="008A5315">
              <w:t>9290***</w:t>
            </w:r>
          </w:p>
        </w:tc>
        <w:tc>
          <w:tcPr>
            <w:tcW w:w="751" w:type="pct"/>
            <w:tcBorders>
              <w:top w:val="nil"/>
              <w:left w:val="nil"/>
              <w:bottom w:val="single" w:sz="4" w:space="0" w:color="auto"/>
              <w:right w:val="nil"/>
            </w:tcBorders>
            <w:shd w:val="clear" w:color="auto" w:fill="auto"/>
            <w:noWrap/>
            <w:vAlign w:val="center"/>
            <w:hideMark/>
          </w:tcPr>
          <w:p w14:paraId="321C436C" w14:textId="784BF26D" w:rsidR="00FB666F" w:rsidRPr="008A5315" w:rsidRDefault="00FB666F" w:rsidP="00EA1772">
            <w:r w:rsidRPr="008A5315">
              <w:t>-0</w:t>
            </w:r>
            <w:r w:rsidR="00A66940" w:rsidRPr="008A5315">
              <w:t>,</w:t>
            </w:r>
            <w:r w:rsidRPr="008A5315">
              <w:t>0613**</w:t>
            </w:r>
          </w:p>
        </w:tc>
        <w:tc>
          <w:tcPr>
            <w:tcW w:w="751" w:type="pct"/>
            <w:tcBorders>
              <w:top w:val="nil"/>
              <w:left w:val="nil"/>
              <w:bottom w:val="single" w:sz="4" w:space="0" w:color="auto"/>
              <w:right w:val="nil"/>
            </w:tcBorders>
            <w:shd w:val="clear" w:color="auto" w:fill="auto"/>
            <w:noWrap/>
            <w:vAlign w:val="center"/>
            <w:hideMark/>
          </w:tcPr>
          <w:p w14:paraId="0153421C" w14:textId="39966BA2" w:rsidR="00FB666F" w:rsidRPr="008A5315" w:rsidRDefault="002F135C" w:rsidP="00EA1772">
            <w:r w:rsidRPr="008A5315">
              <w:t xml:space="preserve"> </w:t>
            </w:r>
            <w:r w:rsidR="00FB666F" w:rsidRPr="008A5315">
              <w:t>0</w:t>
            </w:r>
            <w:r w:rsidR="00A66940" w:rsidRPr="008A5315">
              <w:t>,</w:t>
            </w:r>
            <w:r w:rsidR="00FB666F" w:rsidRPr="008A5315">
              <w:t>0000</w:t>
            </w:r>
          </w:p>
        </w:tc>
        <w:tc>
          <w:tcPr>
            <w:tcW w:w="981" w:type="pct"/>
            <w:tcBorders>
              <w:top w:val="nil"/>
              <w:left w:val="nil"/>
              <w:bottom w:val="single" w:sz="4" w:space="0" w:color="auto"/>
              <w:right w:val="nil"/>
            </w:tcBorders>
            <w:shd w:val="clear" w:color="auto" w:fill="auto"/>
            <w:noWrap/>
            <w:vAlign w:val="center"/>
            <w:hideMark/>
          </w:tcPr>
          <w:p w14:paraId="721BD54E" w14:textId="08B4BA2C" w:rsidR="00FB666F" w:rsidRPr="008A5315" w:rsidRDefault="002F135C" w:rsidP="00EA1772">
            <w:r w:rsidRPr="008A5315">
              <w:t xml:space="preserve">   </w:t>
            </w:r>
            <w:r w:rsidR="00FB666F" w:rsidRPr="008A5315">
              <w:t>-0</w:t>
            </w:r>
            <w:r w:rsidR="00A66940" w:rsidRPr="008A5315">
              <w:t>,</w:t>
            </w:r>
            <w:r w:rsidR="00FB666F" w:rsidRPr="008A5315">
              <w:t>0160</w:t>
            </w:r>
          </w:p>
        </w:tc>
      </w:tr>
      <w:tr w:rsidR="00132476" w:rsidRPr="008A5315" w14:paraId="79643381" w14:textId="77777777" w:rsidTr="00EA1772">
        <w:trPr>
          <w:trHeight w:val="320"/>
        </w:trPr>
        <w:tc>
          <w:tcPr>
            <w:tcW w:w="971" w:type="pct"/>
            <w:tcBorders>
              <w:top w:val="single" w:sz="4" w:space="0" w:color="auto"/>
              <w:left w:val="nil"/>
              <w:bottom w:val="nil"/>
              <w:right w:val="nil"/>
            </w:tcBorders>
            <w:shd w:val="clear" w:color="auto" w:fill="auto"/>
            <w:noWrap/>
            <w:vAlign w:val="center"/>
            <w:hideMark/>
          </w:tcPr>
          <w:p w14:paraId="2AB9AAD7" w14:textId="61ED86F0" w:rsidR="00A66940" w:rsidRPr="008A5315" w:rsidRDefault="00A66940" w:rsidP="00A66940">
            <m:oMathPara>
              <m:oMath>
                <m:r>
                  <w:rPr>
                    <w:rFonts w:ascii="Cambria Math" w:hAnsi="Cambria Math"/>
                  </w:rPr>
                  <m:t>N</m:t>
                </m:r>
              </m:oMath>
            </m:oMathPara>
          </w:p>
        </w:tc>
        <w:tc>
          <w:tcPr>
            <w:tcW w:w="751" w:type="pct"/>
            <w:tcBorders>
              <w:top w:val="single" w:sz="4" w:space="0" w:color="auto"/>
              <w:left w:val="nil"/>
              <w:bottom w:val="nil"/>
              <w:right w:val="nil"/>
            </w:tcBorders>
            <w:shd w:val="clear" w:color="auto" w:fill="auto"/>
            <w:noWrap/>
            <w:vAlign w:val="center"/>
            <w:hideMark/>
          </w:tcPr>
          <w:p w14:paraId="2FDBB9F2" w14:textId="32A4B77B" w:rsidR="00A66940" w:rsidRPr="008A5315" w:rsidRDefault="00985B04" w:rsidP="00EA1772">
            <w:r w:rsidRPr="008A5315">
              <w:t xml:space="preserve">  </w:t>
            </w:r>
            <w:r w:rsidR="00A66940" w:rsidRPr="008A5315">
              <w:t>4882</w:t>
            </w:r>
          </w:p>
        </w:tc>
        <w:tc>
          <w:tcPr>
            <w:tcW w:w="796" w:type="pct"/>
            <w:tcBorders>
              <w:top w:val="single" w:sz="4" w:space="0" w:color="auto"/>
              <w:left w:val="nil"/>
              <w:bottom w:val="nil"/>
              <w:right w:val="nil"/>
            </w:tcBorders>
            <w:shd w:val="clear" w:color="auto" w:fill="auto"/>
            <w:noWrap/>
            <w:vAlign w:val="center"/>
            <w:hideMark/>
          </w:tcPr>
          <w:p w14:paraId="1B794977" w14:textId="0CA65E7F" w:rsidR="00A66940" w:rsidRPr="008A5315" w:rsidRDefault="00985B04" w:rsidP="00EA1772">
            <w:r w:rsidRPr="008A5315">
              <w:t xml:space="preserve">   </w:t>
            </w:r>
            <w:r w:rsidR="00A66940" w:rsidRPr="008A5315">
              <w:t>4882</w:t>
            </w:r>
          </w:p>
        </w:tc>
        <w:tc>
          <w:tcPr>
            <w:tcW w:w="751" w:type="pct"/>
            <w:tcBorders>
              <w:top w:val="single" w:sz="4" w:space="0" w:color="auto"/>
              <w:left w:val="nil"/>
              <w:bottom w:val="nil"/>
              <w:right w:val="nil"/>
            </w:tcBorders>
            <w:shd w:val="clear" w:color="auto" w:fill="auto"/>
            <w:noWrap/>
            <w:vAlign w:val="center"/>
            <w:hideMark/>
          </w:tcPr>
          <w:p w14:paraId="170417D3" w14:textId="10114597" w:rsidR="00A66940" w:rsidRPr="008A5315" w:rsidRDefault="00985B04" w:rsidP="00EA1772">
            <w:r w:rsidRPr="008A5315">
              <w:t xml:space="preserve">  </w:t>
            </w:r>
            <w:r w:rsidR="00A66940" w:rsidRPr="008A5315">
              <w:t>4882</w:t>
            </w:r>
          </w:p>
        </w:tc>
        <w:tc>
          <w:tcPr>
            <w:tcW w:w="751" w:type="pct"/>
            <w:tcBorders>
              <w:top w:val="single" w:sz="4" w:space="0" w:color="auto"/>
              <w:left w:val="nil"/>
              <w:bottom w:val="nil"/>
              <w:right w:val="nil"/>
            </w:tcBorders>
            <w:shd w:val="clear" w:color="auto" w:fill="auto"/>
            <w:noWrap/>
            <w:vAlign w:val="center"/>
            <w:hideMark/>
          </w:tcPr>
          <w:p w14:paraId="1312B8F8" w14:textId="1076A211" w:rsidR="00A66940" w:rsidRPr="008A5315" w:rsidRDefault="00985B04" w:rsidP="00EA1772">
            <w:r w:rsidRPr="008A5315">
              <w:t xml:space="preserve">  </w:t>
            </w:r>
            <w:r w:rsidR="00A66940" w:rsidRPr="008A5315">
              <w:t>4310</w:t>
            </w:r>
          </w:p>
        </w:tc>
        <w:tc>
          <w:tcPr>
            <w:tcW w:w="981" w:type="pct"/>
            <w:tcBorders>
              <w:top w:val="single" w:sz="4" w:space="0" w:color="auto"/>
              <w:left w:val="nil"/>
              <w:bottom w:val="nil"/>
              <w:right w:val="nil"/>
            </w:tcBorders>
            <w:shd w:val="clear" w:color="auto" w:fill="auto"/>
            <w:noWrap/>
            <w:vAlign w:val="center"/>
            <w:hideMark/>
          </w:tcPr>
          <w:p w14:paraId="504EC83A" w14:textId="3FD7DE06" w:rsidR="00A66940" w:rsidRPr="008A5315" w:rsidRDefault="00985B04" w:rsidP="00EA1772">
            <w:r w:rsidRPr="008A5315">
              <w:t xml:space="preserve">      </w:t>
            </w:r>
            <w:r w:rsidR="00A66940" w:rsidRPr="008A5315">
              <w:t>2461</w:t>
            </w:r>
          </w:p>
        </w:tc>
      </w:tr>
      <w:tr w:rsidR="00132476" w:rsidRPr="008A5315" w14:paraId="57EE989B" w14:textId="77777777" w:rsidTr="00EA1772">
        <w:trPr>
          <w:trHeight w:val="320"/>
        </w:trPr>
        <w:tc>
          <w:tcPr>
            <w:tcW w:w="971" w:type="pct"/>
            <w:tcBorders>
              <w:top w:val="nil"/>
              <w:left w:val="nil"/>
              <w:bottom w:val="nil"/>
              <w:right w:val="nil"/>
            </w:tcBorders>
            <w:shd w:val="clear" w:color="auto" w:fill="auto"/>
            <w:noWrap/>
            <w:vAlign w:val="center"/>
            <w:hideMark/>
          </w:tcPr>
          <w:p w14:paraId="1418E549" w14:textId="772FFF33" w:rsidR="00A66940" w:rsidRPr="008A5315" w:rsidRDefault="00A66940" w:rsidP="00A66940">
            <m:oMathPara>
              <m:oMath>
                <m:r>
                  <w:rPr>
                    <w:rFonts w:ascii="Cambria Math" w:hAnsi="Cambria Math"/>
                  </w:rPr>
                  <m:t>F</m:t>
                </m:r>
              </m:oMath>
            </m:oMathPara>
          </w:p>
        </w:tc>
        <w:tc>
          <w:tcPr>
            <w:tcW w:w="751" w:type="pct"/>
            <w:tcBorders>
              <w:top w:val="nil"/>
              <w:left w:val="nil"/>
              <w:bottom w:val="nil"/>
              <w:right w:val="nil"/>
            </w:tcBorders>
            <w:shd w:val="clear" w:color="auto" w:fill="auto"/>
            <w:noWrap/>
            <w:vAlign w:val="center"/>
            <w:hideMark/>
          </w:tcPr>
          <w:p w14:paraId="1A20DA18" w14:textId="73C599BA" w:rsidR="00A66940" w:rsidRPr="008A5315" w:rsidRDefault="00A66940" w:rsidP="00EA1772">
            <w:r w:rsidRPr="008A5315">
              <w:t>138,9407</w:t>
            </w:r>
          </w:p>
        </w:tc>
        <w:tc>
          <w:tcPr>
            <w:tcW w:w="796" w:type="pct"/>
            <w:tcBorders>
              <w:top w:val="nil"/>
              <w:left w:val="nil"/>
              <w:bottom w:val="nil"/>
              <w:right w:val="nil"/>
            </w:tcBorders>
            <w:shd w:val="clear" w:color="auto" w:fill="auto"/>
            <w:noWrap/>
            <w:vAlign w:val="center"/>
            <w:hideMark/>
          </w:tcPr>
          <w:p w14:paraId="795B8383" w14:textId="4D1BBD91" w:rsidR="00A66940" w:rsidRPr="008A5315" w:rsidRDefault="00A66940" w:rsidP="00EA1772">
            <w:r w:rsidRPr="008A5315">
              <w:t>9,14e+04</w:t>
            </w:r>
          </w:p>
        </w:tc>
        <w:tc>
          <w:tcPr>
            <w:tcW w:w="751" w:type="pct"/>
            <w:tcBorders>
              <w:top w:val="nil"/>
              <w:left w:val="nil"/>
              <w:bottom w:val="nil"/>
              <w:right w:val="nil"/>
            </w:tcBorders>
            <w:shd w:val="clear" w:color="auto" w:fill="auto"/>
            <w:noWrap/>
            <w:vAlign w:val="center"/>
            <w:hideMark/>
          </w:tcPr>
          <w:p w14:paraId="46D12CA7" w14:textId="77777777" w:rsidR="00A66940" w:rsidRPr="008A5315" w:rsidRDefault="00A66940" w:rsidP="00EA1772"/>
        </w:tc>
        <w:tc>
          <w:tcPr>
            <w:tcW w:w="751" w:type="pct"/>
            <w:tcBorders>
              <w:top w:val="nil"/>
              <w:left w:val="nil"/>
              <w:bottom w:val="nil"/>
              <w:right w:val="nil"/>
            </w:tcBorders>
            <w:shd w:val="clear" w:color="auto" w:fill="auto"/>
            <w:noWrap/>
            <w:vAlign w:val="center"/>
            <w:hideMark/>
          </w:tcPr>
          <w:p w14:paraId="61AAEA71" w14:textId="77777777" w:rsidR="00A66940" w:rsidRPr="008A5315" w:rsidRDefault="00A66940" w:rsidP="00EA1772"/>
        </w:tc>
        <w:tc>
          <w:tcPr>
            <w:tcW w:w="981" w:type="pct"/>
            <w:tcBorders>
              <w:top w:val="nil"/>
              <w:left w:val="nil"/>
              <w:bottom w:val="nil"/>
              <w:right w:val="nil"/>
            </w:tcBorders>
            <w:shd w:val="clear" w:color="auto" w:fill="auto"/>
            <w:noWrap/>
            <w:vAlign w:val="center"/>
            <w:hideMark/>
          </w:tcPr>
          <w:p w14:paraId="74F0E0D7" w14:textId="77777777" w:rsidR="00A66940" w:rsidRPr="008A5315" w:rsidRDefault="00A66940" w:rsidP="00EA1772"/>
        </w:tc>
      </w:tr>
      <w:tr w:rsidR="00132476" w:rsidRPr="008A5315" w14:paraId="37E47FAD" w14:textId="77777777" w:rsidTr="00EA1772">
        <w:trPr>
          <w:trHeight w:val="320"/>
        </w:trPr>
        <w:tc>
          <w:tcPr>
            <w:tcW w:w="971" w:type="pct"/>
            <w:tcBorders>
              <w:top w:val="nil"/>
              <w:left w:val="nil"/>
              <w:bottom w:val="nil"/>
              <w:right w:val="nil"/>
            </w:tcBorders>
            <w:shd w:val="clear" w:color="auto" w:fill="auto"/>
            <w:noWrap/>
            <w:vAlign w:val="center"/>
            <w:hideMark/>
          </w:tcPr>
          <w:p w14:paraId="77615FED" w14:textId="45717403" w:rsidR="00A66940" w:rsidRPr="008A5315" w:rsidRDefault="00174140" w:rsidP="00A66940">
            <m:oMathPara>
              <m:oMath>
                <m:sSup>
                  <m:sSupPr>
                    <m:ctrlPr>
                      <w:rPr>
                        <w:rFonts w:ascii="Cambria Math" w:hAnsi="Cambria Math"/>
                        <w:i/>
                      </w:rPr>
                    </m:ctrlPr>
                  </m:sSupPr>
                  <m:e>
                    <m:r>
                      <w:rPr>
                        <w:rFonts w:ascii="Cambria Math" w:hAnsi="Cambria Math"/>
                      </w:rPr>
                      <m:t>χ</m:t>
                    </m:r>
                  </m:e>
                  <m:sup>
                    <m:r>
                      <w:rPr>
                        <w:rFonts w:ascii="Cambria Math" w:hAnsi="Cambria Math"/>
                      </w:rPr>
                      <m:t>2</m:t>
                    </m:r>
                  </m:sup>
                </m:sSup>
              </m:oMath>
            </m:oMathPara>
          </w:p>
        </w:tc>
        <w:tc>
          <w:tcPr>
            <w:tcW w:w="751" w:type="pct"/>
            <w:tcBorders>
              <w:top w:val="nil"/>
              <w:left w:val="nil"/>
              <w:bottom w:val="nil"/>
              <w:right w:val="nil"/>
            </w:tcBorders>
            <w:shd w:val="clear" w:color="auto" w:fill="auto"/>
            <w:noWrap/>
            <w:vAlign w:val="center"/>
            <w:hideMark/>
          </w:tcPr>
          <w:p w14:paraId="6DA9FD55" w14:textId="77777777" w:rsidR="00A66940" w:rsidRPr="008A5315" w:rsidRDefault="00A66940" w:rsidP="00EA1772"/>
        </w:tc>
        <w:tc>
          <w:tcPr>
            <w:tcW w:w="796" w:type="pct"/>
            <w:tcBorders>
              <w:top w:val="nil"/>
              <w:left w:val="nil"/>
              <w:bottom w:val="nil"/>
              <w:right w:val="nil"/>
            </w:tcBorders>
            <w:shd w:val="clear" w:color="auto" w:fill="auto"/>
            <w:noWrap/>
            <w:vAlign w:val="center"/>
            <w:hideMark/>
          </w:tcPr>
          <w:p w14:paraId="2D6897FF" w14:textId="77777777" w:rsidR="00A66940" w:rsidRPr="008A5315" w:rsidRDefault="00A66940" w:rsidP="00EA1772"/>
        </w:tc>
        <w:tc>
          <w:tcPr>
            <w:tcW w:w="751" w:type="pct"/>
            <w:tcBorders>
              <w:top w:val="nil"/>
              <w:left w:val="nil"/>
              <w:bottom w:val="nil"/>
              <w:right w:val="nil"/>
            </w:tcBorders>
            <w:shd w:val="clear" w:color="auto" w:fill="auto"/>
            <w:noWrap/>
            <w:vAlign w:val="center"/>
            <w:hideMark/>
          </w:tcPr>
          <w:p w14:paraId="209BDDB1" w14:textId="52233A25" w:rsidR="00A66940" w:rsidRPr="008A5315" w:rsidRDefault="00A66940" w:rsidP="00EA1772">
            <w:r w:rsidRPr="008A5315">
              <w:t>3527,5970</w:t>
            </w:r>
          </w:p>
        </w:tc>
        <w:tc>
          <w:tcPr>
            <w:tcW w:w="751" w:type="pct"/>
            <w:tcBorders>
              <w:top w:val="nil"/>
              <w:left w:val="nil"/>
              <w:bottom w:val="nil"/>
              <w:right w:val="nil"/>
            </w:tcBorders>
            <w:shd w:val="clear" w:color="auto" w:fill="auto"/>
            <w:noWrap/>
            <w:vAlign w:val="center"/>
            <w:hideMark/>
          </w:tcPr>
          <w:p w14:paraId="169490CA" w14:textId="782C4DC7" w:rsidR="00A66940" w:rsidRPr="008A5315" w:rsidRDefault="00A66940" w:rsidP="00EA1772">
            <w:r w:rsidRPr="008A5315">
              <w:t>1,86e+09</w:t>
            </w:r>
          </w:p>
        </w:tc>
        <w:tc>
          <w:tcPr>
            <w:tcW w:w="981" w:type="pct"/>
            <w:tcBorders>
              <w:top w:val="nil"/>
              <w:left w:val="nil"/>
              <w:bottom w:val="nil"/>
              <w:right w:val="nil"/>
            </w:tcBorders>
            <w:shd w:val="clear" w:color="auto" w:fill="auto"/>
            <w:noWrap/>
            <w:vAlign w:val="center"/>
            <w:hideMark/>
          </w:tcPr>
          <w:p w14:paraId="5C8365C8" w14:textId="7F39FB31" w:rsidR="00A66940" w:rsidRPr="008A5315" w:rsidRDefault="00A66940" w:rsidP="00EA1772">
            <w:r w:rsidRPr="008A5315">
              <w:t>3454,6769</w:t>
            </w:r>
          </w:p>
        </w:tc>
      </w:tr>
      <w:tr w:rsidR="00132476" w:rsidRPr="008A5315" w14:paraId="16A6949E" w14:textId="77777777" w:rsidTr="00EA1772">
        <w:trPr>
          <w:trHeight w:val="320"/>
        </w:trPr>
        <w:tc>
          <w:tcPr>
            <w:tcW w:w="971" w:type="pct"/>
            <w:tcBorders>
              <w:top w:val="nil"/>
              <w:left w:val="nil"/>
              <w:bottom w:val="nil"/>
              <w:right w:val="nil"/>
            </w:tcBorders>
            <w:shd w:val="clear" w:color="auto" w:fill="auto"/>
            <w:noWrap/>
            <w:vAlign w:val="center"/>
            <w:hideMark/>
          </w:tcPr>
          <w:p w14:paraId="5402D767" w14:textId="3A8428F9" w:rsidR="00A66940" w:rsidRPr="008A5315" w:rsidRDefault="00174140" w:rsidP="00A66940">
            <m:oMathPara>
              <m:oMath>
                <m:sSup>
                  <m:sSupPr>
                    <m:ctrlPr>
                      <w:rPr>
                        <w:rFonts w:ascii="Cambria Math" w:hAnsi="Cambria Math"/>
                        <w:i/>
                      </w:rPr>
                    </m:ctrlPr>
                  </m:sSupPr>
                  <m:e>
                    <m:r>
                      <w:rPr>
                        <w:rFonts w:ascii="Cambria Math" w:hAnsi="Cambria Math"/>
                      </w:rPr>
                      <m:t>R</m:t>
                    </m:r>
                  </m:e>
                  <m:sup>
                    <m:r>
                      <w:rPr>
                        <w:rFonts w:ascii="Cambria Math" w:hAnsi="Cambria Math"/>
                      </w:rPr>
                      <m:t>2</m:t>
                    </m:r>
                  </m:sup>
                </m:sSup>
              </m:oMath>
            </m:oMathPara>
          </w:p>
        </w:tc>
        <w:tc>
          <w:tcPr>
            <w:tcW w:w="751" w:type="pct"/>
            <w:tcBorders>
              <w:top w:val="nil"/>
              <w:left w:val="nil"/>
              <w:bottom w:val="nil"/>
              <w:right w:val="nil"/>
            </w:tcBorders>
            <w:shd w:val="clear" w:color="auto" w:fill="auto"/>
            <w:noWrap/>
            <w:vAlign w:val="center"/>
            <w:hideMark/>
          </w:tcPr>
          <w:p w14:paraId="0C0E762B" w14:textId="230F6A93" w:rsidR="00A66940" w:rsidRPr="008A5315" w:rsidRDefault="00A66940" w:rsidP="00EA1772">
            <w:r w:rsidRPr="008A5315">
              <w:t>0,5700</w:t>
            </w:r>
          </w:p>
        </w:tc>
        <w:tc>
          <w:tcPr>
            <w:tcW w:w="796" w:type="pct"/>
            <w:tcBorders>
              <w:top w:val="nil"/>
              <w:left w:val="nil"/>
              <w:bottom w:val="nil"/>
              <w:right w:val="nil"/>
            </w:tcBorders>
            <w:shd w:val="clear" w:color="auto" w:fill="auto"/>
            <w:noWrap/>
            <w:vAlign w:val="center"/>
            <w:hideMark/>
          </w:tcPr>
          <w:p w14:paraId="21D80ABE" w14:textId="77777777" w:rsidR="00A66940" w:rsidRPr="008A5315" w:rsidRDefault="00A66940" w:rsidP="00EA1772"/>
        </w:tc>
        <w:tc>
          <w:tcPr>
            <w:tcW w:w="751" w:type="pct"/>
            <w:tcBorders>
              <w:top w:val="nil"/>
              <w:left w:val="nil"/>
              <w:bottom w:val="nil"/>
              <w:right w:val="nil"/>
            </w:tcBorders>
            <w:shd w:val="clear" w:color="auto" w:fill="auto"/>
            <w:noWrap/>
            <w:vAlign w:val="center"/>
            <w:hideMark/>
          </w:tcPr>
          <w:p w14:paraId="7820DA8F" w14:textId="77777777" w:rsidR="00A66940" w:rsidRPr="008A5315" w:rsidRDefault="00A66940" w:rsidP="00EA1772"/>
        </w:tc>
        <w:tc>
          <w:tcPr>
            <w:tcW w:w="751" w:type="pct"/>
            <w:tcBorders>
              <w:top w:val="nil"/>
              <w:left w:val="nil"/>
              <w:bottom w:val="nil"/>
              <w:right w:val="nil"/>
            </w:tcBorders>
            <w:shd w:val="clear" w:color="auto" w:fill="auto"/>
            <w:noWrap/>
            <w:vAlign w:val="center"/>
            <w:hideMark/>
          </w:tcPr>
          <w:p w14:paraId="1F6DA15A" w14:textId="77777777" w:rsidR="00A66940" w:rsidRPr="008A5315" w:rsidRDefault="00A66940" w:rsidP="00EA1772"/>
        </w:tc>
        <w:tc>
          <w:tcPr>
            <w:tcW w:w="981" w:type="pct"/>
            <w:tcBorders>
              <w:top w:val="nil"/>
              <w:left w:val="nil"/>
              <w:bottom w:val="nil"/>
              <w:right w:val="nil"/>
            </w:tcBorders>
            <w:shd w:val="clear" w:color="auto" w:fill="auto"/>
            <w:noWrap/>
            <w:vAlign w:val="center"/>
            <w:hideMark/>
          </w:tcPr>
          <w:p w14:paraId="4BD3C7D8" w14:textId="77777777" w:rsidR="00A66940" w:rsidRPr="008A5315" w:rsidRDefault="00A66940" w:rsidP="00EA1772"/>
        </w:tc>
      </w:tr>
      <w:tr w:rsidR="00132476" w:rsidRPr="008A5315" w14:paraId="21C35D20" w14:textId="77777777" w:rsidTr="00EA1772">
        <w:trPr>
          <w:trHeight w:val="320"/>
        </w:trPr>
        <w:tc>
          <w:tcPr>
            <w:tcW w:w="971" w:type="pct"/>
            <w:tcBorders>
              <w:top w:val="nil"/>
              <w:left w:val="nil"/>
              <w:bottom w:val="nil"/>
              <w:right w:val="nil"/>
            </w:tcBorders>
            <w:shd w:val="clear" w:color="auto" w:fill="auto"/>
            <w:noWrap/>
            <w:vAlign w:val="center"/>
            <w:hideMark/>
          </w:tcPr>
          <w:p w14:paraId="0FA04180" w14:textId="49858308" w:rsidR="00A66940" w:rsidRPr="008A5315" w:rsidRDefault="00174140" w:rsidP="00A66940">
            <m:oMathPara>
              <m:oMath>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 xml:space="preserve"> Within</m:t>
                </m:r>
              </m:oMath>
            </m:oMathPara>
          </w:p>
        </w:tc>
        <w:tc>
          <w:tcPr>
            <w:tcW w:w="751" w:type="pct"/>
            <w:tcBorders>
              <w:top w:val="nil"/>
              <w:left w:val="nil"/>
              <w:bottom w:val="nil"/>
              <w:right w:val="nil"/>
            </w:tcBorders>
            <w:shd w:val="clear" w:color="auto" w:fill="auto"/>
            <w:noWrap/>
            <w:vAlign w:val="center"/>
            <w:hideMark/>
          </w:tcPr>
          <w:p w14:paraId="11FD85A6" w14:textId="1CCFD4E5" w:rsidR="00A66940" w:rsidRPr="008A5315" w:rsidRDefault="00A66940" w:rsidP="00EA1772">
            <w:r w:rsidRPr="008A5315">
              <w:t>0,5700</w:t>
            </w:r>
          </w:p>
        </w:tc>
        <w:tc>
          <w:tcPr>
            <w:tcW w:w="796" w:type="pct"/>
            <w:tcBorders>
              <w:top w:val="nil"/>
              <w:left w:val="nil"/>
              <w:bottom w:val="nil"/>
              <w:right w:val="nil"/>
            </w:tcBorders>
            <w:shd w:val="clear" w:color="auto" w:fill="auto"/>
            <w:noWrap/>
            <w:vAlign w:val="center"/>
            <w:hideMark/>
          </w:tcPr>
          <w:p w14:paraId="45FCE2FB" w14:textId="59554E8E" w:rsidR="00A66940" w:rsidRPr="008A5315" w:rsidRDefault="00A66940" w:rsidP="00EA1772">
            <w:r w:rsidRPr="008A5315">
              <w:t>0,5700</w:t>
            </w:r>
          </w:p>
        </w:tc>
        <w:tc>
          <w:tcPr>
            <w:tcW w:w="751" w:type="pct"/>
            <w:tcBorders>
              <w:top w:val="nil"/>
              <w:left w:val="nil"/>
              <w:bottom w:val="nil"/>
              <w:right w:val="nil"/>
            </w:tcBorders>
            <w:shd w:val="clear" w:color="auto" w:fill="auto"/>
            <w:noWrap/>
            <w:vAlign w:val="center"/>
            <w:hideMark/>
          </w:tcPr>
          <w:p w14:paraId="119CA16F" w14:textId="701C2EAD" w:rsidR="00A66940" w:rsidRPr="008A5315" w:rsidRDefault="00A66940" w:rsidP="00EA1772">
            <w:r w:rsidRPr="008A5315">
              <w:t>0,5115</w:t>
            </w:r>
          </w:p>
        </w:tc>
        <w:tc>
          <w:tcPr>
            <w:tcW w:w="751" w:type="pct"/>
            <w:tcBorders>
              <w:top w:val="nil"/>
              <w:left w:val="nil"/>
              <w:bottom w:val="nil"/>
              <w:right w:val="nil"/>
            </w:tcBorders>
            <w:shd w:val="clear" w:color="auto" w:fill="auto"/>
            <w:noWrap/>
            <w:vAlign w:val="center"/>
            <w:hideMark/>
          </w:tcPr>
          <w:p w14:paraId="40E9E888" w14:textId="77777777" w:rsidR="00A66940" w:rsidRPr="008A5315" w:rsidRDefault="00A66940" w:rsidP="00EA1772"/>
        </w:tc>
        <w:tc>
          <w:tcPr>
            <w:tcW w:w="981" w:type="pct"/>
            <w:tcBorders>
              <w:top w:val="nil"/>
              <w:left w:val="nil"/>
              <w:bottom w:val="nil"/>
              <w:right w:val="nil"/>
            </w:tcBorders>
            <w:shd w:val="clear" w:color="auto" w:fill="auto"/>
            <w:noWrap/>
            <w:vAlign w:val="center"/>
            <w:hideMark/>
          </w:tcPr>
          <w:p w14:paraId="688A6EA3" w14:textId="534B23C4" w:rsidR="00A66940" w:rsidRPr="008A5315" w:rsidRDefault="00A66940" w:rsidP="00EA1772">
            <w:r w:rsidRPr="008A5315">
              <w:t>0,4003</w:t>
            </w:r>
          </w:p>
        </w:tc>
      </w:tr>
      <w:tr w:rsidR="00132476" w:rsidRPr="008A5315" w14:paraId="22009CA5" w14:textId="77777777" w:rsidTr="00EA1772">
        <w:trPr>
          <w:trHeight w:val="320"/>
        </w:trPr>
        <w:tc>
          <w:tcPr>
            <w:tcW w:w="971" w:type="pct"/>
            <w:tcBorders>
              <w:top w:val="nil"/>
              <w:left w:val="nil"/>
              <w:right w:val="nil"/>
            </w:tcBorders>
            <w:shd w:val="clear" w:color="auto" w:fill="auto"/>
            <w:noWrap/>
            <w:vAlign w:val="center"/>
            <w:hideMark/>
          </w:tcPr>
          <w:p w14:paraId="5ED85C68" w14:textId="0E31E114" w:rsidR="00A66940" w:rsidRPr="008A5315" w:rsidRDefault="00174140" w:rsidP="00A66940">
            <m:oMathPara>
              <m:oMath>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 xml:space="preserve"> Between</m:t>
                </m:r>
              </m:oMath>
            </m:oMathPara>
          </w:p>
        </w:tc>
        <w:tc>
          <w:tcPr>
            <w:tcW w:w="751" w:type="pct"/>
            <w:tcBorders>
              <w:top w:val="nil"/>
              <w:left w:val="nil"/>
              <w:right w:val="nil"/>
            </w:tcBorders>
            <w:shd w:val="clear" w:color="auto" w:fill="auto"/>
            <w:noWrap/>
            <w:vAlign w:val="center"/>
            <w:hideMark/>
          </w:tcPr>
          <w:p w14:paraId="2D5DDC12" w14:textId="33BA74CF" w:rsidR="00A66940" w:rsidRPr="008A5315" w:rsidRDefault="00A66940" w:rsidP="00EA1772">
            <w:r w:rsidRPr="008A5315">
              <w:t>0,1036</w:t>
            </w:r>
          </w:p>
        </w:tc>
        <w:tc>
          <w:tcPr>
            <w:tcW w:w="796" w:type="pct"/>
            <w:tcBorders>
              <w:top w:val="nil"/>
              <w:left w:val="nil"/>
              <w:right w:val="nil"/>
            </w:tcBorders>
            <w:shd w:val="clear" w:color="auto" w:fill="auto"/>
            <w:noWrap/>
            <w:vAlign w:val="center"/>
            <w:hideMark/>
          </w:tcPr>
          <w:p w14:paraId="04D073A9" w14:textId="77777777" w:rsidR="00A66940" w:rsidRPr="008A5315" w:rsidRDefault="00A66940" w:rsidP="00EA1772"/>
        </w:tc>
        <w:tc>
          <w:tcPr>
            <w:tcW w:w="751" w:type="pct"/>
            <w:tcBorders>
              <w:top w:val="nil"/>
              <w:left w:val="nil"/>
              <w:right w:val="nil"/>
            </w:tcBorders>
            <w:shd w:val="clear" w:color="auto" w:fill="auto"/>
            <w:noWrap/>
            <w:vAlign w:val="center"/>
            <w:hideMark/>
          </w:tcPr>
          <w:p w14:paraId="4BF1DB0F" w14:textId="60DC707E" w:rsidR="00A66940" w:rsidRPr="008A5315" w:rsidRDefault="00A66940" w:rsidP="00EA1772">
            <w:r w:rsidRPr="008A5315">
              <w:t>0,6465</w:t>
            </w:r>
          </w:p>
        </w:tc>
        <w:tc>
          <w:tcPr>
            <w:tcW w:w="751" w:type="pct"/>
            <w:tcBorders>
              <w:top w:val="nil"/>
              <w:left w:val="nil"/>
              <w:right w:val="nil"/>
            </w:tcBorders>
            <w:shd w:val="clear" w:color="auto" w:fill="auto"/>
            <w:noWrap/>
            <w:vAlign w:val="center"/>
            <w:hideMark/>
          </w:tcPr>
          <w:p w14:paraId="186D9EED" w14:textId="77777777" w:rsidR="00A66940" w:rsidRPr="008A5315" w:rsidRDefault="00A66940" w:rsidP="00EA1772"/>
        </w:tc>
        <w:tc>
          <w:tcPr>
            <w:tcW w:w="981" w:type="pct"/>
            <w:tcBorders>
              <w:top w:val="nil"/>
              <w:left w:val="nil"/>
              <w:right w:val="nil"/>
            </w:tcBorders>
            <w:shd w:val="clear" w:color="auto" w:fill="auto"/>
            <w:noWrap/>
            <w:vAlign w:val="center"/>
            <w:hideMark/>
          </w:tcPr>
          <w:p w14:paraId="4076A0B8" w14:textId="3D4E3E07" w:rsidR="00A66940" w:rsidRPr="008A5315" w:rsidRDefault="00A66940" w:rsidP="00EA1772">
            <w:r w:rsidRPr="008A5315">
              <w:t>0,6636</w:t>
            </w:r>
          </w:p>
        </w:tc>
      </w:tr>
      <w:tr w:rsidR="00132476" w:rsidRPr="008A5315" w14:paraId="21F37941" w14:textId="77777777" w:rsidTr="00EA1772">
        <w:trPr>
          <w:trHeight w:val="320"/>
        </w:trPr>
        <w:tc>
          <w:tcPr>
            <w:tcW w:w="971" w:type="pct"/>
            <w:tcBorders>
              <w:top w:val="nil"/>
              <w:left w:val="nil"/>
              <w:bottom w:val="single" w:sz="4" w:space="0" w:color="auto"/>
              <w:right w:val="nil"/>
            </w:tcBorders>
            <w:shd w:val="clear" w:color="auto" w:fill="auto"/>
            <w:noWrap/>
            <w:vAlign w:val="center"/>
            <w:hideMark/>
          </w:tcPr>
          <w:p w14:paraId="0C862BB4" w14:textId="1CA39148" w:rsidR="00A66940" w:rsidRPr="008A5315" w:rsidRDefault="00174140" w:rsidP="00A66940">
            <m:oMathPara>
              <m:oMath>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 xml:space="preserve"> Overall</m:t>
                </m:r>
              </m:oMath>
            </m:oMathPara>
          </w:p>
        </w:tc>
        <w:tc>
          <w:tcPr>
            <w:tcW w:w="751" w:type="pct"/>
            <w:tcBorders>
              <w:top w:val="nil"/>
              <w:left w:val="nil"/>
              <w:bottom w:val="single" w:sz="4" w:space="0" w:color="auto"/>
              <w:right w:val="nil"/>
            </w:tcBorders>
            <w:shd w:val="clear" w:color="auto" w:fill="auto"/>
            <w:noWrap/>
            <w:vAlign w:val="center"/>
            <w:hideMark/>
          </w:tcPr>
          <w:p w14:paraId="12474FFE" w14:textId="49E898EE" w:rsidR="00A66940" w:rsidRPr="008A5315" w:rsidRDefault="00A66940" w:rsidP="00EA1772">
            <w:r w:rsidRPr="008A5315">
              <w:t>0,1311</w:t>
            </w:r>
          </w:p>
        </w:tc>
        <w:tc>
          <w:tcPr>
            <w:tcW w:w="796" w:type="pct"/>
            <w:tcBorders>
              <w:top w:val="nil"/>
              <w:left w:val="nil"/>
              <w:bottom w:val="single" w:sz="4" w:space="0" w:color="auto"/>
              <w:right w:val="nil"/>
            </w:tcBorders>
            <w:shd w:val="clear" w:color="auto" w:fill="auto"/>
            <w:noWrap/>
            <w:vAlign w:val="center"/>
            <w:hideMark/>
          </w:tcPr>
          <w:p w14:paraId="54D46E35" w14:textId="77777777" w:rsidR="00A66940" w:rsidRPr="008A5315" w:rsidRDefault="00A66940" w:rsidP="00EA1772"/>
        </w:tc>
        <w:tc>
          <w:tcPr>
            <w:tcW w:w="751" w:type="pct"/>
            <w:tcBorders>
              <w:top w:val="nil"/>
              <w:left w:val="nil"/>
              <w:bottom w:val="single" w:sz="4" w:space="0" w:color="auto"/>
              <w:right w:val="nil"/>
            </w:tcBorders>
            <w:shd w:val="clear" w:color="auto" w:fill="auto"/>
            <w:noWrap/>
            <w:vAlign w:val="center"/>
            <w:hideMark/>
          </w:tcPr>
          <w:p w14:paraId="7494C429" w14:textId="086A899D" w:rsidR="00A66940" w:rsidRPr="008A5315" w:rsidRDefault="00A66940" w:rsidP="00EA1772">
            <w:r w:rsidRPr="008A5315">
              <w:t>0,6440</w:t>
            </w:r>
          </w:p>
        </w:tc>
        <w:tc>
          <w:tcPr>
            <w:tcW w:w="751" w:type="pct"/>
            <w:tcBorders>
              <w:top w:val="nil"/>
              <w:left w:val="nil"/>
              <w:bottom w:val="single" w:sz="4" w:space="0" w:color="auto"/>
              <w:right w:val="nil"/>
            </w:tcBorders>
            <w:shd w:val="clear" w:color="auto" w:fill="auto"/>
            <w:noWrap/>
            <w:vAlign w:val="center"/>
            <w:hideMark/>
          </w:tcPr>
          <w:p w14:paraId="0A366218" w14:textId="77777777" w:rsidR="00A66940" w:rsidRPr="008A5315" w:rsidRDefault="00A66940" w:rsidP="00EA1772"/>
        </w:tc>
        <w:tc>
          <w:tcPr>
            <w:tcW w:w="981" w:type="pct"/>
            <w:tcBorders>
              <w:top w:val="nil"/>
              <w:left w:val="nil"/>
              <w:bottom w:val="single" w:sz="4" w:space="0" w:color="auto"/>
              <w:right w:val="nil"/>
            </w:tcBorders>
            <w:shd w:val="clear" w:color="auto" w:fill="auto"/>
            <w:noWrap/>
            <w:vAlign w:val="center"/>
            <w:hideMark/>
          </w:tcPr>
          <w:p w14:paraId="635DD64F" w14:textId="240B651C" w:rsidR="00A66940" w:rsidRPr="008A5315" w:rsidRDefault="00A66940" w:rsidP="00EA1772">
            <w:r w:rsidRPr="008A5315">
              <w:t>0,6241</w:t>
            </w:r>
          </w:p>
        </w:tc>
      </w:tr>
    </w:tbl>
    <w:p w14:paraId="47E248D2" w14:textId="7DCE2B7F" w:rsidR="00C5662B" w:rsidRPr="008A5315" w:rsidRDefault="00C5662B" w:rsidP="00C5662B">
      <w:pPr>
        <w:jc w:val="both"/>
        <w:rPr>
          <w:sz w:val="20"/>
          <w:szCs w:val="20"/>
        </w:rPr>
      </w:pPr>
      <w:r w:rsidRPr="008A5315">
        <w:rPr>
          <w:sz w:val="20"/>
          <w:szCs w:val="20"/>
        </w:rPr>
        <w:t>Legenda: * p&lt;0,10; ** p&lt;0,05; ***p&lt;0,01. EF – Efeito Fixo</w:t>
      </w:r>
      <w:r w:rsidR="00E260B5" w:rsidRPr="008A5315">
        <w:rPr>
          <w:sz w:val="20"/>
          <w:szCs w:val="20"/>
        </w:rPr>
        <w:t xml:space="preserve"> com Erros Robustos</w:t>
      </w:r>
      <w:r w:rsidRPr="008A5315">
        <w:rPr>
          <w:sz w:val="20"/>
          <w:szCs w:val="20"/>
        </w:rPr>
        <w:t xml:space="preserve">, XTSCC_FE – Efeitos Fixos com Erros conforme </w:t>
      </w:r>
      <w:proofErr w:type="spellStart"/>
      <w:r w:rsidRPr="008A5315">
        <w:rPr>
          <w:sz w:val="20"/>
          <w:szCs w:val="20"/>
        </w:rPr>
        <w:t>Driscoll</w:t>
      </w:r>
      <w:proofErr w:type="spellEnd"/>
      <w:r w:rsidRPr="008A5315">
        <w:rPr>
          <w:sz w:val="20"/>
          <w:szCs w:val="20"/>
        </w:rPr>
        <w:t xml:space="preserve"> e </w:t>
      </w:r>
      <w:proofErr w:type="spellStart"/>
      <w:r w:rsidRPr="008A5315">
        <w:rPr>
          <w:sz w:val="20"/>
          <w:szCs w:val="20"/>
        </w:rPr>
        <w:t>Kraay</w:t>
      </w:r>
      <w:proofErr w:type="spellEnd"/>
      <w:r w:rsidRPr="008A5315">
        <w:rPr>
          <w:sz w:val="20"/>
          <w:szCs w:val="20"/>
        </w:rPr>
        <w:t xml:space="preserve"> (1998),</w:t>
      </w:r>
      <w:r w:rsidR="00E260B5" w:rsidRPr="008A5315">
        <w:rPr>
          <w:sz w:val="20"/>
          <w:szCs w:val="20"/>
        </w:rPr>
        <w:t xml:space="preserve"> </w:t>
      </w:r>
      <w:r w:rsidRPr="008A5315">
        <w:rPr>
          <w:sz w:val="20"/>
          <w:szCs w:val="20"/>
        </w:rPr>
        <w:t xml:space="preserve">EA </w:t>
      </w:r>
      <w:r w:rsidR="00E260B5" w:rsidRPr="008A5315">
        <w:rPr>
          <w:sz w:val="20"/>
          <w:szCs w:val="20"/>
        </w:rPr>
        <w:t>–</w:t>
      </w:r>
      <w:r w:rsidRPr="008A5315">
        <w:rPr>
          <w:sz w:val="20"/>
          <w:szCs w:val="20"/>
        </w:rPr>
        <w:t xml:space="preserve"> </w:t>
      </w:r>
      <w:r w:rsidR="00E260B5" w:rsidRPr="008A5315">
        <w:rPr>
          <w:sz w:val="20"/>
          <w:szCs w:val="20"/>
        </w:rPr>
        <w:t xml:space="preserve">Painel com </w:t>
      </w:r>
      <w:r w:rsidRPr="008A5315">
        <w:rPr>
          <w:sz w:val="20"/>
          <w:szCs w:val="20"/>
        </w:rPr>
        <w:t>Efeito</w:t>
      </w:r>
      <w:r w:rsidR="00E260B5" w:rsidRPr="008A5315">
        <w:rPr>
          <w:sz w:val="20"/>
          <w:szCs w:val="20"/>
        </w:rPr>
        <w:t>s</w:t>
      </w:r>
      <w:r w:rsidRPr="008A5315">
        <w:rPr>
          <w:sz w:val="20"/>
          <w:szCs w:val="20"/>
        </w:rPr>
        <w:t xml:space="preserve"> Aleatório</w:t>
      </w:r>
      <w:r w:rsidR="00E260B5" w:rsidRPr="008A5315">
        <w:rPr>
          <w:sz w:val="20"/>
          <w:szCs w:val="20"/>
        </w:rPr>
        <w:t>s</w:t>
      </w:r>
      <w:r w:rsidRPr="008A5315">
        <w:rPr>
          <w:sz w:val="20"/>
          <w:szCs w:val="20"/>
        </w:rPr>
        <w:t xml:space="preserve"> e XTGLS – Painel estimado por Mínimos Quadrados Generalizados (GLS) com Erros Padrão corrigidos e XTIVREG_RE – Painel estimado com uso de Variáveis Instrumental (VI).</w:t>
      </w:r>
    </w:p>
    <w:p w14:paraId="4F107C4D" w14:textId="77777777" w:rsidR="00C5662B" w:rsidRPr="008A5315" w:rsidRDefault="00C5662B" w:rsidP="00C5662B">
      <w:pPr>
        <w:jc w:val="both"/>
        <w:rPr>
          <w:sz w:val="20"/>
          <w:szCs w:val="20"/>
        </w:rPr>
      </w:pPr>
      <w:r w:rsidRPr="008A5315">
        <w:rPr>
          <w:sz w:val="20"/>
          <w:szCs w:val="20"/>
        </w:rPr>
        <w:t xml:space="preserve">Fonte: Elaborado a partir dos dados da pesquisa. </w:t>
      </w:r>
    </w:p>
    <w:p w14:paraId="17575291" w14:textId="4A1174FE" w:rsidR="00773083" w:rsidRPr="008A5315" w:rsidRDefault="00773083" w:rsidP="003A3ABD">
      <w:pPr>
        <w:spacing w:line="360" w:lineRule="auto"/>
        <w:jc w:val="both"/>
      </w:pPr>
    </w:p>
    <w:p w14:paraId="29EDB359" w14:textId="0D1EA723" w:rsidR="004F7487" w:rsidRPr="008A5315" w:rsidRDefault="00C13919" w:rsidP="00DC54B7">
      <w:pPr>
        <w:spacing w:line="360" w:lineRule="auto"/>
        <w:jc w:val="both"/>
      </w:pPr>
      <w:r w:rsidRPr="008A5315">
        <w:tab/>
        <w:t>Retomando a análise central desse estudo, embora a corrupção por si só não produza a pobreza, o resultado apresentado pela sensibilidade do índice multidimensional IFDM em relação a corrupção, apresentados nessa seção, sugere que a corrupção aumenta indiretamente os níveis de pobreza nos municípios brasileiros</w:t>
      </w:r>
      <w:r w:rsidR="00534A24" w:rsidRPr="008A5315">
        <w:t xml:space="preserve"> </w:t>
      </w:r>
      <w:r w:rsidRPr="008A5315">
        <w:t xml:space="preserve">por ter consequências diretas </w:t>
      </w:r>
      <w:r w:rsidR="00B3496A" w:rsidRPr="008A5315">
        <w:t xml:space="preserve">e negativas </w:t>
      </w:r>
      <w:r w:rsidR="00534A24" w:rsidRPr="008A5315">
        <w:t>em um dos</w:t>
      </w:r>
      <w:r w:rsidR="00B3496A" w:rsidRPr="008A5315">
        <w:t xml:space="preserve"> indicadores que compõe o IFDM</w:t>
      </w:r>
      <w:r w:rsidR="00534A24" w:rsidRPr="008A5315">
        <w:t xml:space="preserve"> ou ainda em todos</w:t>
      </w:r>
      <w:r w:rsidR="00B3496A" w:rsidRPr="008A5315">
        <w:t>, a saber:</w:t>
      </w:r>
      <w:r w:rsidRPr="008A5315">
        <w:t xml:space="preserve"> emprego</w:t>
      </w:r>
      <w:r w:rsidR="00B3496A" w:rsidRPr="008A5315">
        <w:t xml:space="preserve"> e renda, </w:t>
      </w:r>
      <w:r w:rsidRPr="008A5315">
        <w:t xml:space="preserve">educação e saúde. </w:t>
      </w:r>
    </w:p>
    <w:p w14:paraId="6E4FA4C7" w14:textId="576D6EDC" w:rsidR="00E80C45" w:rsidRPr="008A5315" w:rsidRDefault="00C13919" w:rsidP="00DC54B7">
      <w:pPr>
        <w:spacing w:line="360" w:lineRule="auto"/>
        <w:ind w:firstLine="708"/>
        <w:jc w:val="both"/>
      </w:pPr>
      <w:r w:rsidRPr="008A5315">
        <w:t>I</w:t>
      </w:r>
      <w:r w:rsidR="00721F99" w:rsidRPr="008A5315">
        <w:t>sso posto, diante dos resultados apresentados nessa pesquisa</w:t>
      </w:r>
      <w:r w:rsidRPr="008A5315">
        <w:t>, é relevante ressaltar que não adianta criar programas de erradicação da pobreza se, simultaneamente a isso, não implantar também me</w:t>
      </w:r>
      <w:r w:rsidR="00B51D75" w:rsidRPr="008A5315">
        <w:t xml:space="preserve">didas </w:t>
      </w:r>
      <w:r w:rsidR="00B07B71" w:rsidRPr="008A5315">
        <w:t xml:space="preserve">mais </w:t>
      </w:r>
      <w:r w:rsidR="00B51D75" w:rsidRPr="008A5315">
        <w:t xml:space="preserve">rígidas de controle à </w:t>
      </w:r>
      <w:r w:rsidRPr="008A5315">
        <w:t>corrupção,</w:t>
      </w:r>
      <w:r w:rsidR="00881AA1" w:rsidRPr="008A5315">
        <w:t xml:space="preserve"> pois, do contrário, poderá se t</w:t>
      </w:r>
      <w:r w:rsidRPr="008A5315">
        <w:t>er desperdício de recursos públicos.</w:t>
      </w:r>
    </w:p>
    <w:p w14:paraId="1C42D03B" w14:textId="77777777" w:rsidR="00985B04" w:rsidRPr="008A5315" w:rsidRDefault="00985B04" w:rsidP="00DC54B7">
      <w:pPr>
        <w:spacing w:line="360" w:lineRule="auto"/>
        <w:ind w:firstLine="708"/>
        <w:jc w:val="both"/>
      </w:pPr>
    </w:p>
    <w:p w14:paraId="47BE6CA3" w14:textId="2F54D4E3" w:rsidR="00315D1D" w:rsidRPr="008A5315" w:rsidRDefault="00315D1D" w:rsidP="003F60FF">
      <w:pPr>
        <w:pStyle w:val="Ttulo1"/>
        <w:spacing w:after="240" w:line="360" w:lineRule="auto"/>
        <w:rPr>
          <w:rFonts w:ascii="Times New Roman" w:hAnsi="Times New Roman" w:cs="Times New Roman"/>
          <w:b/>
          <w:color w:val="auto"/>
          <w:sz w:val="24"/>
        </w:rPr>
      </w:pPr>
      <w:r w:rsidRPr="008A5315">
        <w:rPr>
          <w:rFonts w:ascii="Times New Roman" w:hAnsi="Times New Roman" w:cs="Times New Roman"/>
          <w:b/>
          <w:color w:val="auto"/>
          <w:sz w:val="24"/>
        </w:rPr>
        <w:t>CONSIDERAÇÕES FINAIS</w:t>
      </w:r>
    </w:p>
    <w:p w14:paraId="2CA8CDED" w14:textId="0DFC1C9A" w:rsidR="000D7F34" w:rsidRPr="008A5315" w:rsidRDefault="000D7F34" w:rsidP="00DC54B7">
      <w:pPr>
        <w:spacing w:line="360" w:lineRule="auto"/>
        <w:ind w:firstLine="708"/>
        <w:jc w:val="both"/>
      </w:pPr>
      <w:r w:rsidRPr="008A5315">
        <w:t>Esse artigo analisou</w:t>
      </w:r>
      <w:r w:rsidR="00B46313" w:rsidRPr="008A5315">
        <w:t>, por meio de um modelo de dados em painel,</w:t>
      </w:r>
      <w:r w:rsidRPr="008A5315">
        <w:t xml:space="preserve"> a influência da corrupção na pobreza dos municípios brasileiros entre </w:t>
      </w:r>
      <w:r w:rsidR="00B46313" w:rsidRPr="008A5315">
        <w:t xml:space="preserve">os anos de </w:t>
      </w:r>
      <w:r w:rsidR="001E07CF" w:rsidRPr="008A5315">
        <w:t>2005 a</w:t>
      </w:r>
      <w:r w:rsidR="009F5EF4" w:rsidRPr="008A5315">
        <w:t xml:space="preserve"> 2016</w:t>
      </w:r>
      <w:r w:rsidR="006F4B63" w:rsidRPr="008A5315">
        <w:t>, tendo como referência de</w:t>
      </w:r>
      <w:r w:rsidR="009F5EF4" w:rsidRPr="008A5315">
        <w:t xml:space="preserve"> indicador de pobreza o índice</w:t>
      </w:r>
      <w:r w:rsidR="00AA57DC" w:rsidRPr="008A5315">
        <w:t xml:space="preserve"> de Desenvolvimento Municipal (</w:t>
      </w:r>
      <w:r w:rsidR="009F5EF4" w:rsidRPr="008A5315">
        <w:t>IFDM</w:t>
      </w:r>
      <w:r w:rsidR="00AA57DC" w:rsidRPr="008A5315">
        <w:t>)</w:t>
      </w:r>
      <w:r w:rsidR="009F5EF4" w:rsidRPr="008A5315">
        <w:t xml:space="preserve"> da Federação das Indústrias do Rio de Janeiro </w:t>
      </w:r>
      <w:r w:rsidR="00AA57DC" w:rsidRPr="008A5315">
        <w:t>(</w:t>
      </w:r>
      <w:r w:rsidR="009F5EF4" w:rsidRPr="008A5315">
        <w:t>FIRJAN</w:t>
      </w:r>
      <w:r w:rsidR="00AA57DC" w:rsidRPr="008A5315">
        <w:t>)</w:t>
      </w:r>
      <w:r w:rsidR="001E07CF" w:rsidRPr="008A5315">
        <w:t>,</w:t>
      </w:r>
      <w:r w:rsidR="00B46313" w:rsidRPr="008A5315">
        <w:t xml:space="preserve"> e como indicador de corrupção o número de proc</w:t>
      </w:r>
      <w:r w:rsidR="006E6DE4" w:rsidRPr="008A5315">
        <w:t>essos julgados e investigados extraídos da</w:t>
      </w:r>
      <w:r w:rsidR="00AA57DC" w:rsidRPr="008A5315">
        <w:t xml:space="preserve"> Controladoria Geral da União (</w:t>
      </w:r>
      <w:r w:rsidR="00B46313" w:rsidRPr="008A5315">
        <w:t>CGU</w:t>
      </w:r>
      <w:r w:rsidR="00AA57DC" w:rsidRPr="008A5315">
        <w:t>)</w:t>
      </w:r>
      <w:r w:rsidR="00927F8A" w:rsidRPr="008A5315">
        <w:t xml:space="preserve"> para os municípios brasileiros</w:t>
      </w:r>
      <w:r w:rsidR="006F4B63" w:rsidRPr="008A5315">
        <w:t>.</w:t>
      </w:r>
    </w:p>
    <w:p w14:paraId="693C2214" w14:textId="7E60DADA" w:rsidR="00333630" w:rsidRPr="008A5315" w:rsidRDefault="000B4BAB" w:rsidP="00DC54B7">
      <w:pPr>
        <w:spacing w:line="360" w:lineRule="auto"/>
        <w:ind w:firstLine="708"/>
        <w:jc w:val="both"/>
      </w:pPr>
      <w:r w:rsidRPr="008A5315">
        <w:t>Os resultados revelaram que há uma relação significante e</w:t>
      </w:r>
      <w:r w:rsidR="00040E07" w:rsidRPr="008A5315">
        <w:t xml:space="preserve"> inversa entre a corrupção e a pobreza</w:t>
      </w:r>
      <w:r w:rsidRPr="008A5315">
        <w:t xml:space="preserve"> nos municípios brasileiros. Ou seja, </w:t>
      </w:r>
      <w:r w:rsidR="00040E07" w:rsidRPr="008A5315">
        <w:t>quanto maior a ocorrência de práticas corruptas,</w:t>
      </w:r>
      <w:r w:rsidRPr="008A5315">
        <w:t xml:space="preserve"> menores são as chances de uma elevação no índice IFDM</w:t>
      </w:r>
      <w:r w:rsidR="00040E07" w:rsidRPr="008A5315">
        <w:t xml:space="preserve"> e, por conseguinte, de diminuição da pobreza</w:t>
      </w:r>
      <w:r w:rsidR="001E07CF" w:rsidRPr="008A5315">
        <w:t xml:space="preserve"> nesses municípios</w:t>
      </w:r>
      <w:r w:rsidR="00040E07" w:rsidRPr="008A5315">
        <w:t>.</w:t>
      </w:r>
    </w:p>
    <w:p w14:paraId="0C074A36" w14:textId="62EBC00D" w:rsidR="003917B5" w:rsidRPr="008A5315" w:rsidRDefault="00484222" w:rsidP="00DC54B7">
      <w:pPr>
        <w:spacing w:line="360" w:lineRule="auto"/>
        <w:ind w:firstLine="708"/>
        <w:jc w:val="both"/>
      </w:pPr>
      <w:r w:rsidRPr="008A5315">
        <w:lastRenderedPageBreak/>
        <w:t>Com relação aos efeitos das demais variáveis explicativas, as elasticidades indicaram que “tamanho do governo”</w:t>
      </w:r>
      <w:r w:rsidR="00A1780A" w:rsidRPr="008A5315">
        <w:t xml:space="preserve"> e </w:t>
      </w:r>
      <w:r w:rsidRPr="008A5315">
        <w:t xml:space="preserve">“tamanho da população” contribuem </w:t>
      </w:r>
      <w:r w:rsidR="00A1780A" w:rsidRPr="008A5315">
        <w:t>negativamente</w:t>
      </w:r>
      <w:r w:rsidRPr="008A5315">
        <w:t xml:space="preserve"> para uma redução na pobreza</w:t>
      </w:r>
      <w:r w:rsidR="001C617E" w:rsidRPr="008A5315">
        <w:t>,</w:t>
      </w:r>
      <w:r w:rsidRPr="008A5315">
        <w:t xml:space="preserve"> </w:t>
      </w:r>
      <w:r w:rsidR="001C617E" w:rsidRPr="008A5315">
        <w:t>a</w:t>
      </w:r>
      <w:r w:rsidRPr="008A5315">
        <w:t xml:space="preserve">o passo que </w:t>
      </w:r>
      <w:r w:rsidR="00A1780A" w:rsidRPr="008A5315">
        <w:t xml:space="preserve">“PIB </w:t>
      </w:r>
      <w:r w:rsidR="00A1780A" w:rsidRPr="008A5315">
        <w:rPr>
          <w:i/>
          <w:iCs/>
        </w:rPr>
        <w:t>per capita</w:t>
      </w:r>
      <w:r w:rsidR="00A1780A" w:rsidRPr="008A5315">
        <w:t>” e</w:t>
      </w:r>
      <w:r w:rsidR="001C617E" w:rsidRPr="008A5315">
        <w:t xml:space="preserve"> “população idosa” tende a </w:t>
      </w:r>
      <w:r w:rsidR="00314B8F" w:rsidRPr="008A5315">
        <w:t>in</w:t>
      </w:r>
      <w:r w:rsidR="001C617E" w:rsidRPr="008A5315">
        <w:t xml:space="preserve">duzir a sua </w:t>
      </w:r>
      <w:r w:rsidR="00A1780A" w:rsidRPr="008A5315">
        <w:t>redu</w:t>
      </w:r>
      <w:r w:rsidR="001C617E" w:rsidRPr="008A5315">
        <w:t>ção.</w:t>
      </w:r>
      <w:r w:rsidR="002D22FB" w:rsidRPr="008A5315">
        <w:t xml:space="preserve"> Constatou-se também que</w:t>
      </w:r>
      <w:r w:rsidR="00A1780A" w:rsidRPr="008A5315">
        <w:t>, em geral,</w:t>
      </w:r>
      <w:r w:rsidR="002D22FB" w:rsidRPr="008A5315">
        <w:t xml:space="preserve"> o fator tempo tem impactado </w:t>
      </w:r>
      <w:r w:rsidR="00A1780A" w:rsidRPr="008A5315">
        <w:t>negativamente</w:t>
      </w:r>
      <w:r w:rsidR="002D22FB" w:rsidRPr="008A5315">
        <w:t xml:space="preserve"> na redução da pobreza, </w:t>
      </w:r>
      <w:r w:rsidR="00A1780A" w:rsidRPr="008A5315">
        <w:t xml:space="preserve">sendo </w:t>
      </w:r>
      <w:r w:rsidR="002D22FB" w:rsidRPr="008A5315">
        <w:t xml:space="preserve">esse impacto </w:t>
      </w:r>
      <w:r w:rsidR="00A1780A" w:rsidRPr="008A5315">
        <w:t>mais evidente</w:t>
      </w:r>
      <w:r w:rsidR="002D22FB" w:rsidRPr="008A5315">
        <w:t xml:space="preserve"> a partir de 2014.</w:t>
      </w:r>
    </w:p>
    <w:p w14:paraId="75CF8AD1" w14:textId="50BC5EB8" w:rsidR="00ED0120" w:rsidRPr="008A5315" w:rsidRDefault="00333630" w:rsidP="00DC54B7">
      <w:pPr>
        <w:spacing w:line="360" w:lineRule="auto"/>
        <w:ind w:firstLine="708"/>
        <w:jc w:val="both"/>
      </w:pPr>
      <w:r w:rsidRPr="008A5315">
        <w:t xml:space="preserve">Diante das evidências apresentadas nesse estudo, </w:t>
      </w:r>
      <w:r w:rsidR="004253A1" w:rsidRPr="008A5315">
        <w:t xml:space="preserve">conclui-se que </w:t>
      </w:r>
      <w:r w:rsidRPr="008A5315">
        <w:t>a corrupção aumenta indiretamente os níveis de pobreza nos municípios</w:t>
      </w:r>
      <w:r w:rsidR="001E07CF" w:rsidRPr="008A5315">
        <w:t>,</w:t>
      </w:r>
      <w:r w:rsidRPr="008A5315">
        <w:t xml:space="preserve"> por ter consequências diretas</w:t>
      </w:r>
      <w:r w:rsidR="004253A1" w:rsidRPr="008A5315">
        <w:t xml:space="preserve"> e negativas</w:t>
      </w:r>
      <w:r w:rsidRPr="008A5315">
        <w:t xml:space="preserve"> </w:t>
      </w:r>
      <w:r w:rsidR="004253A1" w:rsidRPr="008A5315">
        <w:t>n</w:t>
      </w:r>
      <w:r w:rsidRPr="008A5315">
        <w:t>a geração de emprego</w:t>
      </w:r>
      <w:r w:rsidR="00314B8F" w:rsidRPr="008A5315">
        <w:t xml:space="preserve"> e renda</w:t>
      </w:r>
      <w:r w:rsidRPr="008A5315">
        <w:t xml:space="preserve"> e</w:t>
      </w:r>
      <w:r w:rsidR="00767C86" w:rsidRPr="008A5315">
        <w:t>/</w:t>
      </w:r>
      <w:r w:rsidR="0042368D" w:rsidRPr="008A5315">
        <w:t>ou</w:t>
      </w:r>
      <w:r w:rsidRPr="008A5315">
        <w:t xml:space="preserve"> na oferta e qualidade de serviços públicos como educação e saúde.</w:t>
      </w:r>
    </w:p>
    <w:p w14:paraId="3CE78673" w14:textId="100B8E14" w:rsidR="001E07CF" w:rsidRPr="008A5315" w:rsidRDefault="00AF2894" w:rsidP="00DC54B7">
      <w:pPr>
        <w:spacing w:line="360" w:lineRule="auto"/>
        <w:ind w:firstLine="708"/>
        <w:jc w:val="both"/>
      </w:pPr>
      <w:r w:rsidRPr="008A5315">
        <w:t>É</w:t>
      </w:r>
      <w:r w:rsidR="001E07CF" w:rsidRPr="008A5315">
        <w:t xml:space="preserve"> importante</w:t>
      </w:r>
      <w:r w:rsidR="00721F99" w:rsidRPr="008A5315">
        <w:t xml:space="preserve"> ressaltar que não adi</w:t>
      </w:r>
      <w:r w:rsidR="00B3496A" w:rsidRPr="008A5315">
        <w:t>anta fortalecer os</w:t>
      </w:r>
      <w:r w:rsidR="00721F99" w:rsidRPr="008A5315">
        <w:t xml:space="preserve"> programas de erradicaçã</w:t>
      </w:r>
      <w:r w:rsidR="00B3496A" w:rsidRPr="008A5315">
        <w:t>o da pobreza se, concomitante</w:t>
      </w:r>
      <w:r w:rsidR="00721F99" w:rsidRPr="008A5315">
        <w:t xml:space="preserve"> a isso, não implantar também medidas rígi</w:t>
      </w:r>
      <w:r w:rsidRPr="008A5315">
        <w:t>das de controle</w:t>
      </w:r>
      <w:r w:rsidR="00B3496A" w:rsidRPr="008A5315">
        <w:t xml:space="preserve"> </w:t>
      </w:r>
      <w:r w:rsidR="00B51D75" w:rsidRPr="008A5315">
        <w:t xml:space="preserve">à </w:t>
      </w:r>
      <w:r w:rsidR="00B3496A" w:rsidRPr="008A5315">
        <w:t>corrupção. P</w:t>
      </w:r>
      <w:r w:rsidR="00721F99" w:rsidRPr="008A5315">
        <w:t>ois, do contrário, poderá se ter desperdício de recursos públicos</w:t>
      </w:r>
      <w:r w:rsidR="00B3496A" w:rsidRPr="008A5315">
        <w:t xml:space="preserve"> e permanência do estoque de pobreza nos munic</w:t>
      </w:r>
      <w:r w:rsidR="00E031F9" w:rsidRPr="008A5315">
        <w:t>ípios</w:t>
      </w:r>
      <w:r w:rsidR="00B3496A" w:rsidRPr="008A5315">
        <w:t>, sobretudo naqueles mais pobres</w:t>
      </w:r>
      <w:r w:rsidR="00E031F9" w:rsidRPr="008A5315">
        <w:t xml:space="preserve"> do país</w:t>
      </w:r>
      <w:r w:rsidR="001E07CF" w:rsidRPr="008A5315">
        <w:t>.</w:t>
      </w:r>
    </w:p>
    <w:p w14:paraId="4D9D5C75" w14:textId="77777777" w:rsidR="00517660" w:rsidRPr="001849FA" w:rsidRDefault="00517660" w:rsidP="003F60FF">
      <w:pPr>
        <w:pStyle w:val="Ttulo1"/>
        <w:spacing w:after="240" w:line="360" w:lineRule="auto"/>
        <w:rPr>
          <w:rFonts w:ascii="Times New Roman" w:hAnsi="Times New Roman" w:cs="Times New Roman"/>
          <w:b/>
          <w:color w:val="auto"/>
          <w:sz w:val="24"/>
          <w:szCs w:val="24"/>
        </w:rPr>
      </w:pPr>
    </w:p>
    <w:p w14:paraId="0EB6C2AD" w14:textId="4D8DA26F" w:rsidR="00773083" w:rsidRPr="008A5315" w:rsidRDefault="00773083" w:rsidP="003F60FF">
      <w:pPr>
        <w:pStyle w:val="Ttulo1"/>
        <w:spacing w:after="240" w:line="360" w:lineRule="auto"/>
        <w:rPr>
          <w:rFonts w:ascii="Times New Roman" w:hAnsi="Times New Roman" w:cs="Times New Roman"/>
          <w:b/>
          <w:color w:val="auto"/>
          <w:sz w:val="24"/>
          <w:szCs w:val="24"/>
          <w:lang w:val="en-US"/>
        </w:rPr>
      </w:pPr>
      <w:r w:rsidRPr="008A5315">
        <w:rPr>
          <w:rFonts w:ascii="Times New Roman" w:hAnsi="Times New Roman" w:cs="Times New Roman"/>
          <w:b/>
          <w:color w:val="auto"/>
          <w:sz w:val="24"/>
          <w:szCs w:val="24"/>
          <w:lang w:val="en-US"/>
        </w:rPr>
        <w:t>REFERÊNCIAS</w:t>
      </w:r>
    </w:p>
    <w:p w14:paraId="3AFB22D9" w14:textId="2A14B62E" w:rsidR="00F1747C" w:rsidRPr="008A5315" w:rsidRDefault="00F1747C" w:rsidP="00D65271">
      <w:pPr>
        <w:spacing w:after="120" w:line="276" w:lineRule="auto"/>
        <w:jc w:val="both"/>
        <w:rPr>
          <w:bCs/>
          <w:lang w:val="en-US"/>
        </w:rPr>
      </w:pPr>
      <w:r w:rsidRPr="008A5315">
        <w:rPr>
          <w:bCs/>
          <w:lang w:val="en-US"/>
        </w:rPr>
        <w:t xml:space="preserve">ACEMOGLU, D.; SIMON, J.; JAMES A. R. </w:t>
      </w:r>
      <w:r w:rsidRPr="008A5315">
        <w:rPr>
          <w:b/>
          <w:lang w:val="en-US"/>
        </w:rPr>
        <w:t>The Colonial Origins of Comparative Development: An Empirical Investigation</w:t>
      </w:r>
      <w:r w:rsidRPr="008A5315">
        <w:rPr>
          <w:bCs/>
          <w:lang w:val="en-US"/>
        </w:rPr>
        <w:t>. American Economic Review, 91, 5, Dez. 2001.</w:t>
      </w:r>
    </w:p>
    <w:p w14:paraId="33E7CE68" w14:textId="77777777" w:rsidR="002851FC" w:rsidRPr="008A5315" w:rsidRDefault="002851FC" w:rsidP="00D65271">
      <w:pPr>
        <w:spacing w:after="120" w:line="276" w:lineRule="auto"/>
        <w:jc w:val="both"/>
        <w:rPr>
          <w:lang w:val="en-US"/>
        </w:rPr>
      </w:pPr>
      <w:r w:rsidRPr="008A5315">
        <w:rPr>
          <w:lang w:val="en-US"/>
        </w:rPr>
        <w:t xml:space="preserve">AINA, O. </w:t>
      </w:r>
      <w:r w:rsidRPr="008A5315">
        <w:rPr>
          <w:b/>
          <w:lang w:val="en-US"/>
        </w:rPr>
        <w:t>How Corruption Contributes to Poverty</w:t>
      </w:r>
      <w:r w:rsidRPr="008A5315">
        <w:rPr>
          <w:lang w:val="en-US"/>
        </w:rPr>
        <w:t xml:space="preserve">. International Conference on Development of Social Enterprise and Social Business for Eradication of Extreme Poverty and Street Begging at Chittagong. Bangladesh, </w:t>
      </w:r>
      <w:proofErr w:type="spellStart"/>
      <w:r w:rsidRPr="008A5315">
        <w:rPr>
          <w:lang w:val="en-US"/>
        </w:rPr>
        <w:t>dez</w:t>
      </w:r>
      <w:proofErr w:type="spellEnd"/>
      <w:r w:rsidRPr="008A5315">
        <w:rPr>
          <w:lang w:val="en-US"/>
        </w:rPr>
        <w:t>. 2014.</w:t>
      </w:r>
    </w:p>
    <w:p w14:paraId="5EE62912" w14:textId="214D6126" w:rsidR="002851FC" w:rsidRPr="008A5315" w:rsidRDefault="002851FC" w:rsidP="00D65271">
      <w:pPr>
        <w:spacing w:after="120" w:line="276" w:lineRule="auto"/>
        <w:jc w:val="both"/>
        <w:rPr>
          <w:lang w:val="en-US"/>
        </w:rPr>
      </w:pPr>
      <w:r w:rsidRPr="008A5315">
        <w:rPr>
          <w:lang w:val="en-US"/>
        </w:rPr>
        <w:t xml:space="preserve">AJISAFE, R. A. </w:t>
      </w:r>
      <w:r w:rsidRPr="008A5315">
        <w:rPr>
          <w:b/>
          <w:lang w:val="en-US"/>
        </w:rPr>
        <w:t xml:space="preserve">Corruption and Poverty in Nigeria:  Evidence from </w:t>
      </w:r>
      <w:proofErr w:type="spellStart"/>
      <w:r w:rsidRPr="008A5315">
        <w:rPr>
          <w:b/>
          <w:lang w:val="en-US"/>
        </w:rPr>
        <w:t>Ordl</w:t>
      </w:r>
      <w:proofErr w:type="spellEnd"/>
      <w:r w:rsidRPr="008A5315">
        <w:rPr>
          <w:b/>
          <w:lang w:val="en-US"/>
        </w:rPr>
        <w:t xml:space="preserve"> Bound Test and Error Correction Model</w:t>
      </w:r>
      <w:r w:rsidRPr="008A5315">
        <w:rPr>
          <w:lang w:val="en-US"/>
        </w:rPr>
        <w:t>. Journal of Emerging Trends in Economics and Management Sciences (</w:t>
      </w:r>
      <w:proofErr w:type="spellStart"/>
      <w:r w:rsidRPr="008A5315">
        <w:rPr>
          <w:lang w:val="en-US"/>
        </w:rPr>
        <w:t>jetems</w:t>
      </w:r>
      <w:proofErr w:type="spellEnd"/>
      <w:r w:rsidRPr="008A5315">
        <w:rPr>
          <w:lang w:val="en-US"/>
        </w:rPr>
        <w:t>). Vol 3, nº 7, ago 2016.</w:t>
      </w:r>
    </w:p>
    <w:p w14:paraId="3094AFC5" w14:textId="5ADD0B81" w:rsidR="0016574B" w:rsidRPr="008A5315" w:rsidRDefault="0016574B" w:rsidP="00D65271">
      <w:pPr>
        <w:spacing w:after="120" w:line="276" w:lineRule="auto"/>
        <w:jc w:val="both"/>
        <w:rPr>
          <w:lang w:val="en-US"/>
        </w:rPr>
      </w:pPr>
      <w:r w:rsidRPr="008A5315">
        <w:rPr>
          <w:lang w:val="en-US"/>
        </w:rPr>
        <w:t xml:space="preserve">BALTAGI, </w:t>
      </w:r>
      <w:proofErr w:type="spellStart"/>
      <w:r w:rsidRPr="008A5315">
        <w:rPr>
          <w:lang w:val="en-US"/>
        </w:rPr>
        <w:t>Badi</w:t>
      </w:r>
      <w:proofErr w:type="spellEnd"/>
      <w:r w:rsidRPr="008A5315">
        <w:rPr>
          <w:lang w:val="en-US"/>
        </w:rPr>
        <w:t xml:space="preserve"> H.; LI, Qi. A note on the estimation of simultaneous equations with error components. </w:t>
      </w:r>
      <w:r w:rsidRPr="008A5315">
        <w:rPr>
          <w:b/>
          <w:bCs/>
          <w:lang w:val="en-US"/>
        </w:rPr>
        <w:t>Econometric Theory</w:t>
      </w:r>
      <w:r w:rsidRPr="008A5315">
        <w:rPr>
          <w:lang w:val="en-US"/>
        </w:rPr>
        <w:t>. v. 8, n. 1, p. 113-119, 1992.</w:t>
      </w:r>
    </w:p>
    <w:tbl>
      <w:tblPr>
        <w:tblW w:w="6564" w:type="dxa"/>
        <w:tblCellMar>
          <w:left w:w="0" w:type="dxa"/>
          <w:right w:w="0" w:type="dxa"/>
        </w:tblCellMar>
        <w:tblLook w:val="04A0" w:firstRow="1" w:lastRow="0" w:firstColumn="1" w:lastColumn="0" w:noHBand="0" w:noVBand="1"/>
      </w:tblPr>
      <w:tblGrid>
        <w:gridCol w:w="6564"/>
      </w:tblGrid>
      <w:tr w:rsidR="00132476" w:rsidRPr="008A5315" w14:paraId="0590D706" w14:textId="77777777" w:rsidTr="0016574B">
        <w:tc>
          <w:tcPr>
            <w:tcW w:w="0" w:type="auto"/>
            <w:vAlign w:val="center"/>
            <w:hideMark/>
          </w:tcPr>
          <w:p w14:paraId="2E0EB70A" w14:textId="77777777" w:rsidR="0016574B" w:rsidRPr="008A5315" w:rsidRDefault="0016574B" w:rsidP="0016574B">
            <w:pPr>
              <w:rPr>
                <w:sz w:val="20"/>
                <w:szCs w:val="20"/>
              </w:rPr>
            </w:pPr>
          </w:p>
        </w:tc>
      </w:tr>
    </w:tbl>
    <w:p w14:paraId="3EC287B5" w14:textId="259EA9C8" w:rsidR="002851FC" w:rsidRPr="008A5315" w:rsidRDefault="002851FC" w:rsidP="00D65271">
      <w:pPr>
        <w:spacing w:after="120" w:line="276" w:lineRule="auto"/>
        <w:jc w:val="both"/>
        <w:rPr>
          <w:lang w:val="en-US"/>
        </w:rPr>
      </w:pPr>
      <w:r w:rsidRPr="008A5315">
        <w:rPr>
          <w:lang w:val="en-US"/>
        </w:rPr>
        <w:t xml:space="preserve">BALTAGI, B. H. </w:t>
      </w:r>
      <w:r w:rsidRPr="008A5315">
        <w:rPr>
          <w:b/>
          <w:bCs/>
          <w:lang w:val="en-US"/>
        </w:rPr>
        <w:t>Econometric Analysis of Panel Data</w:t>
      </w:r>
      <w:r w:rsidRPr="008A5315">
        <w:rPr>
          <w:lang w:val="en-US"/>
        </w:rPr>
        <w:t>. Wiley, John &amp; Sons, 2001.</w:t>
      </w:r>
    </w:p>
    <w:p w14:paraId="52E41F5E" w14:textId="0B8D2D0A" w:rsidR="00687ECF" w:rsidRPr="008A5315" w:rsidRDefault="00687ECF" w:rsidP="00D65271">
      <w:pPr>
        <w:spacing w:after="120" w:line="276" w:lineRule="auto"/>
        <w:jc w:val="both"/>
      </w:pPr>
      <w:r w:rsidRPr="00BA31F3">
        <w:t xml:space="preserve">BATISTA, Mariana. </w:t>
      </w:r>
      <w:r w:rsidRPr="008A5315">
        <w:t>Incentivos da dinâmica política sobre a corrupção: reeleição, competitividade e coalizões nos municípios brasileiros. </w:t>
      </w:r>
      <w:r w:rsidRPr="008A5315">
        <w:rPr>
          <w:b/>
          <w:bCs/>
        </w:rPr>
        <w:t xml:space="preserve">Rev. bras. </w:t>
      </w:r>
      <w:proofErr w:type="spellStart"/>
      <w:r w:rsidRPr="008A5315">
        <w:rPr>
          <w:b/>
          <w:bCs/>
        </w:rPr>
        <w:t>Ci</w:t>
      </w:r>
      <w:proofErr w:type="spellEnd"/>
      <w:r w:rsidRPr="008A5315">
        <w:rPr>
          <w:b/>
          <w:bCs/>
        </w:rPr>
        <w:t>. Soc.</w:t>
      </w:r>
      <w:r w:rsidRPr="008A5315">
        <w:t xml:space="preserve"> São </w:t>
      </w:r>
      <w:proofErr w:type="gramStart"/>
      <w:r w:rsidRPr="008A5315">
        <w:t>Paulo</w:t>
      </w:r>
      <w:r w:rsidR="00347B65" w:rsidRPr="008A5315">
        <w:t>,</w:t>
      </w:r>
      <w:r w:rsidRPr="008A5315">
        <w:t>  v.</w:t>
      </w:r>
      <w:proofErr w:type="gramEnd"/>
      <w:r w:rsidRPr="008A5315">
        <w:t xml:space="preserve"> 28, n. 82, p. 87-106,  </w:t>
      </w:r>
      <w:proofErr w:type="spellStart"/>
      <w:r w:rsidRPr="008A5315">
        <w:t>June</w:t>
      </w:r>
      <w:proofErr w:type="spellEnd"/>
      <w:r w:rsidRPr="008A5315">
        <w:t>  2013.</w:t>
      </w:r>
    </w:p>
    <w:p w14:paraId="048A7275" w14:textId="30015724" w:rsidR="002851FC" w:rsidRPr="008A5315" w:rsidRDefault="00EC13FE" w:rsidP="00D65271">
      <w:pPr>
        <w:spacing w:after="120" w:line="276" w:lineRule="auto"/>
        <w:jc w:val="both"/>
        <w:rPr>
          <w:shd w:val="clear" w:color="auto" w:fill="FFFFFF"/>
          <w:lang w:val="en-US"/>
        </w:rPr>
      </w:pPr>
      <w:r w:rsidRPr="008A5315">
        <w:rPr>
          <w:lang w:val="en-US"/>
        </w:rPr>
        <w:t>BREUSCH, T.</w:t>
      </w:r>
      <w:r w:rsidR="002851FC" w:rsidRPr="008A5315">
        <w:rPr>
          <w:lang w:val="en-US"/>
        </w:rPr>
        <w:t xml:space="preserve"> S.; PAGAN, </w:t>
      </w:r>
      <w:r w:rsidRPr="008A5315">
        <w:rPr>
          <w:lang w:val="en-US"/>
        </w:rPr>
        <w:t>ADRIAN,</w:t>
      </w:r>
      <w:r w:rsidR="002851FC" w:rsidRPr="008A5315">
        <w:rPr>
          <w:lang w:val="en-US"/>
        </w:rPr>
        <w:t xml:space="preserve"> R. The Lagrange Multiplier Test and its Applications</w:t>
      </w:r>
      <w:r w:rsidR="002851FC" w:rsidRPr="008A5315">
        <w:rPr>
          <w:shd w:val="clear" w:color="auto" w:fill="FFFFFF"/>
          <w:lang w:val="en-US"/>
        </w:rPr>
        <w:t xml:space="preserve"> to Model Specification in Econometrics.</w:t>
      </w:r>
      <w:r w:rsidR="002851FC" w:rsidRPr="008A5315">
        <w:rPr>
          <w:rStyle w:val="apple-converted-space"/>
          <w:shd w:val="clear" w:color="auto" w:fill="FFFFFF"/>
          <w:lang w:val="en-US"/>
        </w:rPr>
        <w:t> </w:t>
      </w:r>
      <w:r w:rsidR="002851FC" w:rsidRPr="008A5315">
        <w:rPr>
          <w:b/>
          <w:bCs/>
          <w:lang w:val="en-US"/>
        </w:rPr>
        <w:t>The Review of Economic Studies</w:t>
      </w:r>
      <w:r w:rsidR="002851FC" w:rsidRPr="008A5315">
        <w:rPr>
          <w:shd w:val="clear" w:color="auto" w:fill="FFFFFF"/>
          <w:lang w:val="en-US"/>
        </w:rPr>
        <w:t>, v. 47, n. 1, p. 239-253, 1980.</w:t>
      </w:r>
    </w:p>
    <w:p w14:paraId="4E5596EB" w14:textId="77777777" w:rsidR="002851FC" w:rsidRPr="008A5315" w:rsidRDefault="002851FC" w:rsidP="00D65271">
      <w:pPr>
        <w:spacing w:after="120" w:line="276" w:lineRule="auto"/>
        <w:jc w:val="both"/>
        <w:rPr>
          <w:lang w:val="en-US"/>
        </w:rPr>
      </w:pPr>
      <w:r w:rsidRPr="008A5315">
        <w:rPr>
          <w:lang w:val="en-US"/>
        </w:rPr>
        <w:t>BUSCAGLIA, E. Judicial</w:t>
      </w:r>
      <w:r w:rsidRPr="008A5315">
        <w:rPr>
          <w:b/>
          <w:lang w:val="en-US"/>
        </w:rPr>
        <w:t xml:space="preserve"> Corruption in Developing Countries: Its Causes and Economic Consequences</w:t>
      </w:r>
      <w:r w:rsidRPr="008A5315">
        <w:rPr>
          <w:lang w:val="en-US"/>
        </w:rPr>
        <w:t>. Hoover Institution, Essays in Public Policy, 1995.</w:t>
      </w:r>
    </w:p>
    <w:p w14:paraId="448B99DA" w14:textId="1933DC66" w:rsidR="002851FC" w:rsidRPr="008A5315" w:rsidRDefault="002851FC" w:rsidP="00D65271">
      <w:pPr>
        <w:spacing w:after="120" w:line="276" w:lineRule="auto"/>
        <w:jc w:val="both"/>
      </w:pPr>
      <w:r w:rsidRPr="008A5315">
        <w:rPr>
          <w:lang w:val="en-US"/>
        </w:rPr>
        <w:lastRenderedPageBreak/>
        <w:t xml:space="preserve">CARBALLO, A. E. </w:t>
      </w:r>
      <w:r w:rsidRPr="008A5315">
        <w:rPr>
          <w:b/>
          <w:lang w:val="en-US"/>
        </w:rPr>
        <w:t>Poverty and Corruption in Latin America: Challenges for a Sustainable Development Strategy</w:t>
      </w:r>
      <w:r w:rsidRPr="008A5315">
        <w:rPr>
          <w:lang w:val="en-US"/>
        </w:rPr>
        <w:t xml:space="preserve">. </w:t>
      </w:r>
      <w:r w:rsidRPr="008A5315">
        <w:rPr>
          <w:lang w:val="es-PY"/>
        </w:rPr>
        <w:t xml:space="preserve">OPERA - Observatorio de Políticas, Ejecución y Resultados de la Administración Pública. </w:t>
      </w:r>
      <w:r w:rsidRPr="008A5315">
        <w:t>Vol. 10, nº 10, 2009.</w:t>
      </w:r>
    </w:p>
    <w:p w14:paraId="759AEEBF" w14:textId="04AE3E57" w:rsidR="00CD683B" w:rsidRPr="008A5315" w:rsidRDefault="00CD683B" w:rsidP="00D65271">
      <w:pPr>
        <w:spacing w:after="120" w:line="276" w:lineRule="auto"/>
        <w:jc w:val="both"/>
        <w:rPr>
          <w:shd w:val="clear" w:color="auto" w:fill="FFFFFF"/>
          <w:lang w:val="en-US"/>
        </w:rPr>
      </w:pPr>
      <w:r w:rsidRPr="008A5315">
        <w:rPr>
          <w:shd w:val="clear" w:color="auto" w:fill="FFFFFF"/>
        </w:rPr>
        <w:t xml:space="preserve">CGU - CONTROLADORIA GERAL DA UNIÃO. </w:t>
      </w:r>
      <w:r w:rsidRPr="008A5315">
        <w:rPr>
          <w:b/>
          <w:shd w:val="clear" w:color="auto" w:fill="FFFFFF"/>
        </w:rPr>
        <w:t>Dados Abertos – Processos Disciplinares</w:t>
      </w:r>
      <w:r w:rsidRPr="008A5315">
        <w:rPr>
          <w:shd w:val="clear" w:color="auto" w:fill="FFFFFF"/>
        </w:rPr>
        <w:t>. Disponível em: “</w:t>
      </w:r>
      <w:hyperlink r:id="rId8" w:tgtFrame="_blank" w:history="1">
        <w:r w:rsidRPr="008A5315">
          <w:rPr>
            <w:rStyle w:val="Hyperlink"/>
            <w:color w:val="auto"/>
            <w:u w:val="none"/>
            <w:bdr w:val="none" w:sz="0" w:space="0" w:color="auto" w:frame="1"/>
          </w:rPr>
          <w:t>https://www.cgu.gov.br/sobre/dados-abertos/arquivos/cgu-pad</w:t>
        </w:r>
      </w:hyperlink>
      <w:r w:rsidRPr="008A5315">
        <w:rPr>
          <w:shd w:val="clear" w:color="auto" w:fill="FFFFFF"/>
        </w:rPr>
        <w:t xml:space="preserve">”. </w:t>
      </w:r>
      <w:proofErr w:type="spellStart"/>
      <w:r w:rsidRPr="008A5315">
        <w:rPr>
          <w:shd w:val="clear" w:color="auto" w:fill="FFFFFF"/>
          <w:lang w:val="en-US"/>
        </w:rPr>
        <w:t>Acesso</w:t>
      </w:r>
      <w:proofErr w:type="spellEnd"/>
      <w:r w:rsidRPr="008A5315">
        <w:rPr>
          <w:shd w:val="clear" w:color="auto" w:fill="FFFFFF"/>
          <w:lang w:val="en-US"/>
        </w:rPr>
        <w:t xml:space="preserve"> </w:t>
      </w:r>
      <w:proofErr w:type="spellStart"/>
      <w:r w:rsidRPr="008A5315">
        <w:rPr>
          <w:shd w:val="clear" w:color="auto" w:fill="FFFFFF"/>
          <w:lang w:val="en-US"/>
        </w:rPr>
        <w:t>em</w:t>
      </w:r>
      <w:proofErr w:type="spellEnd"/>
      <w:r w:rsidRPr="008A5315">
        <w:rPr>
          <w:shd w:val="clear" w:color="auto" w:fill="FFFFFF"/>
          <w:lang w:val="en-US"/>
        </w:rPr>
        <w:t xml:space="preserve">: 02 de </w:t>
      </w:r>
      <w:proofErr w:type="spellStart"/>
      <w:r w:rsidRPr="008A5315">
        <w:rPr>
          <w:shd w:val="clear" w:color="auto" w:fill="FFFFFF"/>
          <w:lang w:val="en-US"/>
        </w:rPr>
        <w:t>fevereiro</w:t>
      </w:r>
      <w:proofErr w:type="spellEnd"/>
      <w:r w:rsidRPr="008A5315">
        <w:rPr>
          <w:shd w:val="clear" w:color="auto" w:fill="FFFFFF"/>
          <w:lang w:val="en-US"/>
        </w:rPr>
        <w:t xml:space="preserve"> de 2019. </w:t>
      </w:r>
    </w:p>
    <w:p w14:paraId="3A9A09ED" w14:textId="77777777" w:rsidR="002851FC" w:rsidRPr="008A5315" w:rsidRDefault="002851FC" w:rsidP="00D65271">
      <w:pPr>
        <w:spacing w:after="120" w:line="276" w:lineRule="auto"/>
        <w:jc w:val="both"/>
        <w:rPr>
          <w:caps/>
          <w:lang w:val="en-US"/>
        </w:rPr>
      </w:pPr>
      <w:r w:rsidRPr="008A5315">
        <w:rPr>
          <w:lang w:val="en-US"/>
        </w:rPr>
        <w:t xml:space="preserve">CHETWYND, E.; CHETWYND, F.; SPECTOR, B. </w:t>
      </w:r>
      <w:r w:rsidRPr="008A5315">
        <w:rPr>
          <w:b/>
          <w:lang w:val="en-US"/>
        </w:rPr>
        <w:t xml:space="preserve">Corruption and Poverty: </w:t>
      </w:r>
      <w:proofErr w:type="gramStart"/>
      <w:r w:rsidRPr="008A5315">
        <w:rPr>
          <w:b/>
          <w:lang w:val="en-US"/>
        </w:rPr>
        <w:t>a</w:t>
      </w:r>
      <w:proofErr w:type="gramEnd"/>
      <w:r w:rsidRPr="008A5315">
        <w:rPr>
          <w:b/>
          <w:lang w:val="en-US"/>
        </w:rPr>
        <w:t xml:space="preserve"> Review of Recent Literature</w:t>
      </w:r>
      <w:r w:rsidRPr="008A5315">
        <w:rPr>
          <w:lang w:val="en-US"/>
        </w:rPr>
        <w:t>. Management Systems International 600 Water Street. Washington, dc 20024, Jan 2003.</w:t>
      </w:r>
    </w:p>
    <w:p w14:paraId="427B98BF" w14:textId="77777777" w:rsidR="002851FC" w:rsidRPr="008A5315" w:rsidRDefault="002851FC" w:rsidP="00D65271">
      <w:pPr>
        <w:spacing w:after="120" w:line="276" w:lineRule="auto"/>
        <w:jc w:val="both"/>
        <w:rPr>
          <w:lang w:val="en-US"/>
        </w:rPr>
      </w:pPr>
      <w:r w:rsidRPr="008A5315">
        <w:rPr>
          <w:lang w:val="en-US"/>
        </w:rPr>
        <w:t xml:space="preserve">DINCER, O. C., GUNALP, B. </w:t>
      </w:r>
      <w:r w:rsidRPr="008A5315">
        <w:rPr>
          <w:rStyle w:val="nfase"/>
          <w:b/>
          <w:i w:val="0"/>
          <w:lang w:val="en-US"/>
        </w:rPr>
        <w:t>Corruption, Income Inequality and Poverty in the United States</w:t>
      </w:r>
      <w:r w:rsidRPr="008A5315">
        <w:rPr>
          <w:lang w:val="en-US"/>
        </w:rPr>
        <w:t xml:space="preserve">. </w:t>
      </w:r>
      <w:proofErr w:type="spellStart"/>
      <w:r w:rsidRPr="008A5315">
        <w:rPr>
          <w:lang w:val="en-US"/>
        </w:rPr>
        <w:t>Feem</w:t>
      </w:r>
      <w:proofErr w:type="spellEnd"/>
      <w:r w:rsidRPr="008A5315">
        <w:rPr>
          <w:lang w:val="en-US"/>
        </w:rPr>
        <w:t xml:space="preserve"> Working Paper nº 54. Jun. 2008.</w:t>
      </w:r>
    </w:p>
    <w:p w14:paraId="1A9FB473" w14:textId="15E6CA2A" w:rsidR="002851FC" w:rsidRPr="008A5315" w:rsidRDefault="002851FC" w:rsidP="00D65271">
      <w:pPr>
        <w:spacing w:after="120" w:line="276" w:lineRule="auto"/>
        <w:jc w:val="both"/>
        <w:rPr>
          <w:lang w:val="en-US"/>
        </w:rPr>
      </w:pPr>
      <w:r w:rsidRPr="008A5315">
        <w:rPr>
          <w:lang w:val="en-US"/>
        </w:rPr>
        <w:t xml:space="preserve">DOLLAR, D., AND GATTI, R. </w:t>
      </w:r>
      <w:r w:rsidRPr="008A5315">
        <w:rPr>
          <w:b/>
          <w:lang w:val="en-US"/>
        </w:rPr>
        <w:t>Gender Inequality, Income, and Growth: Are Good Times Good for Women?</w:t>
      </w:r>
      <w:r w:rsidRPr="008A5315">
        <w:rPr>
          <w:lang w:val="en-US"/>
        </w:rPr>
        <w:t xml:space="preserve"> Working Paper Series nº. 1, Policy Research Report on Gender and Development. Development Research Group/Poverty Reduction and Economic Management Network. World Bank, Washington, D.C, 1999.</w:t>
      </w:r>
    </w:p>
    <w:p w14:paraId="5008259E" w14:textId="77777777" w:rsidR="00942174" w:rsidRPr="008A5315" w:rsidRDefault="00942174" w:rsidP="00D65271">
      <w:pPr>
        <w:spacing w:after="120" w:line="276" w:lineRule="auto"/>
        <w:jc w:val="both"/>
        <w:rPr>
          <w:lang w:val="en-US"/>
        </w:rPr>
      </w:pPr>
      <w:r w:rsidRPr="008A5315">
        <w:rPr>
          <w:shd w:val="clear" w:color="auto" w:fill="FFFFFF"/>
          <w:lang w:val="en-US"/>
        </w:rPr>
        <w:t xml:space="preserve">DRISCOLL, John C.; KRAAY, </w:t>
      </w:r>
      <w:proofErr w:type="spellStart"/>
      <w:r w:rsidRPr="008A5315">
        <w:rPr>
          <w:shd w:val="clear" w:color="auto" w:fill="FFFFFF"/>
          <w:lang w:val="en-US"/>
        </w:rPr>
        <w:t>Aart</w:t>
      </w:r>
      <w:proofErr w:type="spellEnd"/>
      <w:r w:rsidRPr="008A5315">
        <w:rPr>
          <w:shd w:val="clear" w:color="auto" w:fill="FFFFFF"/>
          <w:lang w:val="en-US"/>
        </w:rPr>
        <w:t xml:space="preserve"> C. Consistent covariance matrix estimation with spatially dependent panel data.</w:t>
      </w:r>
      <w:r w:rsidRPr="008A5315">
        <w:rPr>
          <w:rStyle w:val="apple-converted-space"/>
          <w:shd w:val="clear" w:color="auto" w:fill="FFFFFF"/>
          <w:lang w:val="en-US"/>
        </w:rPr>
        <w:t> </w:t>
      </w:r>
      <w:r w:rsidRPr="008A5315">
        <w:rPr>
          <w:b/>
          <w:bCs/>
          <w:lang w:val="en-US"/>
        </w:rPr>
        <w:t>Review of economics and statistics</w:t>
      </w:r>
      <w:r w:rsidRPr="008A5315">
        <w:rPr>
          <w:shd w:val="clear" w:color="auto" w:fill="FFFFFF"/>
          <w:lang w:val="en-US"/>
        </w:rPr>
        <w:t>, v. 80, n. 4, p. 549-560, 1998.</w:t>
      </w:r>
    </w:p>
    <w:p w14:paraId="7BDA6A2E" w14:textId="6397F22B" w:rsidR="002851FC" w:rsidRPr="008A5315" w:rsidRDefault="002851FC" w:rsidP="00D65271">
      <w:pPr>
        <w:spacing w:after="120" w:line="276" w:lineRule="auto"/>
        <w:jc w:val="both"/>
        <w:rPr>
          <w:lang w:val="en-US"/>
        </w:rPr>
      </w:pPr>
      <w:r w:rsidRPr="008A5315">
        <w:rPr>
          <w:shd w:val="clear" w:color="auto" w:fill="FFFFFF"/>
          <w:lang w:val="en-US"/>
        </w:rPr>
        <w:t xml:space="preserve">DRUKKER, David M. </w:t>
      </w:r>
      <w:r w:rsidRPr="008A5315">
        <w:rPr>
          <w:b/>
          <w:bCs/>
          <w:shd w:val="clear" w:color="auto" w:fill="FFFFFF"/>
          <w:lang w:val="en-US"/>
        </w:rPr>
        <w:t>Testing for Serial Correlation in Linear Panel-Data Models</w:t>
      </w:r>
      <w:r w:rsidRPr="008A5315">
        <w:rPr>
          <w:shd w:val="clear" w:color="auto" w:fill="FFFFFF"/>
          <w:lang w:val="en-US"/>
        </w:rPr>
        <w:t>.</w:t>
      </w:r>
      <w:r w:rsidRPr="008A5315">
        <w:rPr>
          <w:lang w:val="en-US"/>
        </w:rPr>
        <w:t> </w:t>
      </w:r>
      <w:r w:rsidRPr="008A5315">
        <w:rPr>
          <w:shd w:val="clear" w:color="auto" w:fill="FFFFFF"/>
          <w:lang w:val="en-US"/>
        </w:rPr>
        <w:t>The Stata Journal, v. 3, n. 2, p. 168-177, 2003.</w:t>
      </w:r>
    </w:p>
    <w:p w14:paraId="05284EB7" w14:textId="77777777" w:rsidR="002851FC" w:rsidRPr="008A5315" w:rsidRDefault="002851FC" w:rsidP="00D65271">
      <w:pPr>
        <w:spacing w:after="120" w:line="276" w:lineRule="auto"/>
        <w:jc w:val="both"/>
      </w:pPr>
      <w:r w:rsidRPr="008A5315">
        <w:rPr>
          <w:lang w:val="en-US"/>
        </w:rPr>
        <w:t xml:space="preserve">ELLIS, J. </w:t>
      </w:r>
      <w:r w:rsidRPr="008A5315">
        <w:rPr>
          <w:b/>
          <w:lang w:val="en-US"/>
        </w:rPr>
        <w:t>Corruption and Australian Business in Africa</w:t>
      </w:r>
      <w:r w:rsidRPr="008A5315">
        <w:rPr>
          <w:lang w:val="en-US"/>
        </w:rPr>
        <w:t xml:space="preserve">. In: African Mining Conference. Perth: Transparency International-Australia. </w:t>
      </w:r>
      <w:r w:rsidRPr="008A5315">
        <w:t xml:space="preserve">11. [Online], disponível em: </w:t>
      </w:r>
      <w:hyperlink r:id="rId9" w:history="1">
        <w:r w:rsidRPr="008A5315">
          <w:rPr>
            <w:rStyle w:val="Hyperlink"/>
            <w:color w:val="auto"/>
            <w:u w:val="none"/>
          </w:rPr>
          <w:t>http://www.transparency.org.au/documetns/amc.html</w:t>
        </w:r>
      </w:hyperlink>
      <w:r w:rsidRPr="008A5315">
        <w:t>, 2000.</w:t>
      </w:r>
    </w:p>
    <w:p w14:paraId="17577E21" w14:textId="7817B6A6" w:rsidR="00CD683B" w:rsidRPr="008A5315" w:rsidRDefault="002851FC" w:rsidP="00D65271">
      <w:pPr>
        <w:spacing w:after="120" w:line="276" w:lineRule="auto"/>
        <w:jc w:val="both"/>
      </w:pPr>
      <w:r w:rsidRPr="008A5315">
        <w:t xml:space="preserve">FINBRA - FINANÇAS DO BRASIL. Secretaria do Tesouro Nacional. </w:t>
      </w:r>
      <w:r w:rsidRPr="008A5315">
        <w:rPr>
          <w:b/>
        </w:rPr>
        <w:t>Dados Contábeis dos Municípios</w:t>
      </w:r>
      <w:r w:rsidRPr="008A5315">
        <w:t>. Disponível em: “http://www.tesouro.fazenda.gov.br/</w:t>
      </w:r>
      <w:proofErr w:type="spellStart"/>
      <w:r w:rsidRPr="008A5315">
        <w:t>pt_PT</w:t>
      </w:r>
      <w:proofErr w:type="spellEnd"/>
      <w:r w:rsidRPr="008A5315">
        <w:t xml:space="preserve">/contas-anuais”. </w:t>
      </w:r>
      <w:r w:rsidR="00CD683B" w:rsidRPr="008A5315">
        <w:t>Acesso em: 10 de maio de 2019.</w:t>
      </w:r>
    </w:p>
    <w:p w14:paraId="40C6F31E" w14:textId="6013BFF6" w:rsidR="00CD683B" w:rsidRPr="008A5315" w:rsidRDefault="00CD683B" w:rsidP="00D65271">
      <w:pPr>
        <w:spacing w:after="120" w:line="276" w:lineRule="auto"/>
        <w:jc w:val="both"/>
      </w:pPr>
      <w:r w:rsidRPr="008A5315">
        <w:t xml:space="preserve">FIOCRUZ – FUNCAÇÃO OSVALDO CRUZ. </w:t>
      </w:r>
      <w:r w:rsidRPr="008A5315">
        <w:rPr>
          <w:b/>
        </w:rPr>
        <w:t>Sistema de Indicadores de Saúde e Acompanhamento de Políticas do Idoso</w:t>
      </w:r>
      <w:r w:rsidRPr="008A5315">
        <w:t xml:space="preserve"> (SISAP/Idoso). Disponível em: “https://sisapidoso.icict.fiocruz.br/consulta-por-</w:t>
      </w:r>
      <w:proofErr w:type="spellStart"/>
      <w:r w:rsidRPr="008A5315">
        <w:t>municipio</w:t>
      </w:r>
      <w:proofErr w:type="spellEnd"/>
      <w:r w:rsidRPr="008A5315">
        <w:t xml:space="preserve">”. Acesso em: 18 de abril de 2019. </w:t>
      </w:r>
    </w:p>
    <w:p w14:paraId="6E4681EA" w14:textId="77777777" w:rsidR="002851FC" w:rsidRPr="008A5315" w:rsidRDefault="002851FC" w:rsidP="00D65271">
      <w:pPr>
        <w:spacing w:after="120" w:line="276" w:lineRule="auto"/>
        <w:jc w:val="both"/>
        <w:rPr>
          <w:lang w:val="en-US"/>
        </w:rPr>
      </w:pPr>
      <w:r w:rsidRPr="008A5315">
        <w:t xml:space="preserve">FIRJAN - FEDERAÇÃO DAS INDÚSTRIAS DO RIO DE JANEIRO. </w:t>
      </w:r>
      <w:proofErr w:type="spellStart"/>
      <w:r w:rsidRPr="008A5315">
        <w:rPr>
          <w:b/>
          <w:bCs/>
        </w:rPr>
        <w:t>Índice</w:t>
      </w:r>
      <w:proofErr w:type="spellEnd"/>
      <w:r w:rsidRPr="008A5315">
        <w:rPr>
          <w:b/>
          <w:bCs/>
        </w:rPr>
        <w:t xml:space="preserve"> Firjan de Desenvolvimento Municipal</w:t>
      </w:r>
      <w:r w:rsidRPr="008A5315">
        <w:t xml:space="preserve">. Dados Consolidados 2005–2016. </w:t>
      </w:r>
      <w:proofErr w:type="spellStart"/>
      <w:r w:rsidRPr="008A5315">
        <w:t>Disponível</w:t>
      </w:r>
      <w:proofErr w:type="spellEnd"/>
      <w:r w:rsidRPr="008A5315">
        <w:t xml:space="preserve"> em: “https://www.firjan.com.br/</w:t>
      </w:r>
      <w:proofErr w:type="spellStart"/>
      <w:r w:rsidRPr="008A5315">
        <w:t>ifdm</w:t>
      </w:r>
      <w:proofErr w:type="spellEnd"/>
      <w:r w:rsidRPr="008A5315">
        <w:t xml:space="preserve">/downloads/”. </w:t>
      </w:r>
      <w:proofErr w:type="spellStart"/>
      <w:r w:rsidRPr="008A5315">
        <w:rPr>
          <w:lang w:val="en-US"/>
        </w:rPr>
        <w:t>Acesso</w:t>
      </w:r>
      <w:proofErr w:type="spellEnd"/>
      <w:r w:rsidRPr="008A5315">
        <w:rPr>
          <w:lang w:val="en-US"/>
        </w:rPr>
        <w:t xml:space="preserve"> </w:t>
      </w:r>
      <w:proofErr w:type="spellStart"/>
      <w:r w:rsidRPr="008A5315">
        <w:rPr>
          <w:lang w:val="en-US"/>
        </w:rPr>
        <w:t>em</w:t>
      </w:r>
      <w:proofErr w:type="spellEnd"/>
      <w:r w:rsidRPr="008A5315">
        <w:rPr>
          <w:lang w:val="en-US"/>
        </w:rPr>
        <w:t xml:space="preserve">: 20 </w:t>
      </w:r>
      <w:proofErr w:type="spellStart"/>
      <w:r w:rsidRPr="008A5315">
        <w:rPr>
          <w:lang w:val="en-US"/>
        </w:rPr>
        <w:t>março</w:t>
      </w:r>
      <w:proofErr w:type="spellEnd"/>
      <w:r w:rsidRPr="008A5315">
        <w:rPr>
          <w:lang w:val="en-US"/>
        </w:rPr>
        <w:t xml:space="preserve"> 2019.</w:t>
      </w:r>
    </w:p>
    <w:p w14:paraId="21F2DCD4" w14:textId="77777777" w:rsidR="002851FC" w:rsidRPr="008A5315" w:rsidRDefault="002851FC" w:rsidP="00D65271">
      <w:pPr>
        <w:spacing w:after="120" w:line="276" w:lineRule="auto"/>
        <w:jc w:val="both"/>
        <w:rPr>
          <w:shd w:val="clear" w:color="auto" w:fill="FFFFFF"/>
          <w:lang w:val="en-US"/>
        </w:rPr>
      </w:pPr>
      <w:r w:rsidRPr="008A5315">
        <w:rPr>
          <w:shd w:val="clear" w:color="auto" w:fill="FFFFFF"/>
          <w:lang w:val="en-US"/>
        </w:rPr>
        <w:t xml:space="preserve">GREENE, W. H. </w:t>
      </w:r>
      <w:r w:rsidRPr="008A5315">
        <w:rPr>
          <w:b/>
          <w:bCs/>
          <w:shd w:val="clear" w:color="auto" w:fill="FFFFFF"/>
          <w:lang w:val="en-US"/>
        </w:rPr>
        <w:t>Econometric Analysis</w:t>
      </w:r>
      <w:r w:rsidRPr="008A5315">
        <w:rPr>
          <w:shd w:val="clear" w:color="auto" w:fill="FFFFFF"/>
          <w:lang w:val="en-US"/>
        </w:rPr>
        <w:t xml:space="preserve">. 6th ed. Upper Saddle River, NJ: Prentice, 2008. </w:t>
      </w:r>
    </w:p>
    <w:p w14:paraId="7D0E7D5D" w14:textId="77777777" w:rsidR="002851FC" w:rsidRPr="008A5315" w:rsidRDefault="002851FC" w:rsidP="00D65271">
      <w:pPr>
        <w:spacing w:after="120" w:line="276" w:lineRule="auto"/>
        <w:jc w:val="both"/>
        <w:rPr>
          <w:lang w:val="en-US"/>
        </w:rPr>
      </w:pPr>
      <w:r w:rsidRPr="008A5315">
        <w:rPr>
          <w:lang w:val="en-US"/>
        </w:rPr>
        <w:t xml:space="preserve">GUPTA, S.; DAVOODI, H.; ALONSO TERME, R. </w:t>
      </w:r>
      <w:r w:rsidRPr="008A5315">
        <w:rPr>
          <w:b/>
          <w:lang w:val="en-US"/>
        </w:rPr>
        <w:t>Does Corruption Affect Income Inequality and Poverty?</w:t>
      </w:r>
      <w:r w:rsidRPr="008A5315">
        <w:rPr>
          <w:lang w:val="en-US"/>
        </w:rPr>
        <w:t xml:space="preserve"> IMF Working Paper, 1998.</w:t>
      </w:r>
    </w:p>
    <w:p w14:paraId="19A5CDA8" w14:textId="77777777" w:rsidR="002851FC" w:rsidRPr="008A5315" w:rsidRDefault="002851FC" w:rsidP="00D65271">
      <w:pPr>
        <w:spacing w:after="120" w:line="276" w:lineRule="auto"/>
        <w:jc w:val="both"/>
        <w:rPr>
          <w:lang w:val="en-US"/>
        </w:rPr>
      </w:pPr>
      <w:r w:rsidRPr="008A5315">
        <w:rPr>
          <w:lang w:val="en-US"/>
        </w:rPr>
        <w:t xml:space="preserve">HOFFMAN; P. </w:t>
      </w:r>
      <w:r w:rsidRPr="008A5315">
        <w:rPr>
          <w:b/>
          <w:lang w:val="en-US"/>
        </w:rPr>
        <w:t>Strategies to Overcome Poverty and Inequality</w:t>
      </w:r>
      <w:r w:rsidRPr="008A5315">
        <w:rPr>
          <w:lang w:val="en-US"/>
        </w:rPr>
        <w:t>. Towards Carnegie III, University of Cape Town f3-7 Set, 2012</w:t>
      </w:r>
    </w:p>
    <w:p w14:paraId="08CF6520" w14:textId="77777777" w:rsidR="002851FC" w:rsidRPr="008A5315" w:rsidRDefault="002851FC" w:rsidP="00D65271">
      <w:pPr>
        <w:spacing w:after="120" w:line="276" w:lineRule="auto"/>
        <w:jc w:val="both"/>
        <w:rPr>
          <w:caps/>
        </w:rPr>
      </w:pPr>
      <w:r w:rsidRPr="008A5315">
        <w:rPr>
          <w:lang w:val="en-US"/>
        </w:rPr>
        <w:t xml:space="preserve">HOPE, R. K. </w:t>
      </w:r>
      <w:proofErr w:type="spellStart"/>
      <w:r w:rsidRPr="008A5315">
        <w:rPr>
          <w:b/>
          <w:lang w:val="en-US"/>
        </w:rPr>
        <w:t>kenya’s</w:t>
      </w:r>
      <w:proofErr w:type="spellEnd"/>
      <w:r w:rsidRPr="008A5315">
        <w:rPr>
          <w:b/>
          <w:lang w:val="en-US"/>
        </w:rPr>
        <w:t xml:space="preserve"> Corruption Problem: Causes and Consequences</w:t>
      </w:r>
      <w:r w:rsidRPr="008A5315">
        <w:rPr>
          <w:lang w:val="en-US"/>
        </w:rPr>
        <w:t xml:space="preserve">. </w:t>
      </w:r>
      <w:r w:rsidRPr="008A5315">
        <w:t xml:space="preserve">Commonwealth </w:t>
      </w:r>
      <w:proofErr w:type="spellStart"/>
      <w:r w:rsidRPr="008A5315">
        <w:t>and</w:t>
      </w:r>
      <w:proofErr w:type="spellEnd"/>
      <w:r w:rsidRPr="008A5315">
        <w:t xml:space="preserve"> </w:t>
      </w:r>
      <w:proofErr w:type="spellStart"/>
      <w:r w:rsidRPr="008A5315">
        <w:t>Comparative</w:t>
      </w:r>
      <w:proofErr w:type="spellEnd"/>
      <w:r w:rsidRPr="008A5315">
        <w:t xml:space="preserve"> </w:t>
      </w:r>
      <w:proofErr w:type="spellStart"/>
      <w:r w:rsidRPr="008A5315">
        <w:t>Politics</w:t>
      </w:r>
      <w:proofErr w:type="spellEnd"/>
      <w:r w:rsidRPr="008A5315">
        <w:t>. Out. 2014.</w:t>
      </w:r>
    </w:p>
    <w:p w14:paraId="17672DDB" w14:textId="77777777" w:rsidR="002851FC" w:rsidRPr="008A5315" w:rsidRDefault="002851FC" w:rsidP="00D65271">
      <w:pPr>
        <w:spacing w:after="120" w:line="276" w:lineRule="auto"/>
        <w:jc w:val="both"/>
      </w:pPr>
      <w:r w:rsidRPr="008A5315">
        <w:lastRenderedPageBreak/>
        <w:t xml:space="preserve">IBGE – INSTITUTO BRASILEIRO DE GEOGRAFIA E ESTATÍSTICA. </w:t>
      </w:r>
      <w:r w:rsidRPr="008A5315">
        <w:rPr>
          <w:b/>
        </w:rPr>
        <w:t>Agência IBGE Notícias</w:t>
      </w:r>
      <w:r w:rsidRPr="008A5315">
        <w:t xml:space="preserve">, 2011. Rio de Janeiro: IBGE. Disponível em </w:t>
      </w:r>
      <w:hyperlink r:id="rId10" w:history="1">
        <w:r w:rsidRPr="008A5315">
          <w:rPr>
            <w:rStyle w:val="Hyperlink"/>
            <w:color w:val="auto"/>
            <w:u w:val="none"/>
          </w:rPr>
          <w:t>https://agenciadenoticias.ibge.gov.br</w:t>
        </w:r>
      </w:hyperlink>
      <w:r w:rsidRPr="008A5315">
        <w:t xml:space="preserve">. Acesso em: 25 jul. 2019.  </w:t>
      </w:r>
    </w:p>
    <w:p w14:paraId="6C56EAFF" w14:textId="77777777" w:rsidR="002851FC" w:rsidRPr="008A5315" w:rsidRDefault="002851FC" w:rsidP="00D65271">
      <w:pPr>
        <w:spacing w:after="120" w:line="276" w:lineRule="auto"/>
        <w:jc w:val="both"/>
        <w:rPr>
          <w:lang w:val="en-US"/>
        </w:rPr>
      </w:pPr>
      <w:r w:rsidRPr="008A5315">
        <w:rPr>
          <w:lang w:val="en-US"/>
        </w:rPr>
        <w:t xml:space="preserve">ILDIRAR, M.; ISCAN, E. </w:t>
      </w:r>
      <w:r w:rsidRPr="008A5315">
        <w:rPr>
          <w:b/>
          <w:lang w:val="en-US"/>
        </w:rPr>
        <w:t>Corruption, Poverty and Economic Performance: Eastern Europe and Central Asia Case</w:t>
      </w:r>
      <w:r w:rsidRPr="008A5315">
        <w:rPr>
          <w:lang w:val="en-US"/>
        </w:rPr>
        <w:t>. International Journal of Economics and Finance Studies. Vol 7, nº 2 (Online), 2015.</w:t>
      </w:r>
    </w:p>
    <w:p w14:paraId="5D821A91" w14:textId="77777777" w:rsidR="002851FC" w:rsidRPr="008A5315" w:rsidRDefault="002851FC" w:rsidP="00D65271">
      <w:pPr>
        <w:spacing w:after="120" w:line="276" w:lineRule="auto"/>
        <w:jc w:val="both"/>
        <w:rPr>
          <w:lang w:val="en-US"/>
        </w:rPr>
      </w:pPr>
      <w:r w:rsidRPr="008A5315">
        <w:rPr>
          <w:lang w:val="en-US"/>
        </w:rPr>
        <w:t xml:space="preserve">KAUFMANN, D.; KRAAY. A.; LOBATON. Z. P. </w:t>
      </w:r>
      <w:r w:rsidRPr="008A5315">
        <w:rPr>
          <w:b/>
          <w:lang w:val="en-US"/>
        </w:rPr>
        <w:t>Governance Matters</w:t>
      </w:r>
      <w:r w:rsidRPr="008A5315">
        <w:rPr>
          <w:lang w:val="en-US"/>
        </w:rPr>
        <w:t>. World Bank Policy Research Working Paper nº. 2196, 1999.</w:t>
      </w:r>
    </w:p>
    <w:p w14:paraId="63421619" w14:textId="77777777" w:rsidR="002851FC" w:rsidRPr="008A5315" w:rsidRDefault="002851FC" w:rsidP="00D65271">
      <w:pPr>
        <w:spacing w:after="120" w:line="276" w:lineRule="auto"/>
        <w:jc w:val="both"/>
        <w:rPr>
          <w:lang w:val="en-US"/>
        </w:rPr>
      </w:pPr>
      <w:r w:rsidRPr="008A5315">
        <w:rPr>
          <w:caps/>
          <w:lang w:val="en-US"/>
        </w:rPr>
        <w:t xml:space="preserve">Kimsun, T. </w:t>
      </w:r>
      <w:proofErr w:type="spellStart"/>
      <w:r w:rsidRPr="008A5315">
        <w:rPr>
          <w:b/>
          <w:lang w:val="en-US"/>
        </w:rPr>
        <w:t>Analysing</w:t>
      </w:r>
      <w:proofErr w:type="spellEnd"/>
      <w:r w:rsidRPr="008A5315">
        <w:rPr>
          <w:b/>
          <w:lang w:val="en-US"/>
        </w:rPr>
        <w:t xml:space="preserve"> Chronic Poverty in Rural Cambodia: Evidence from Panel</w:t>
      </w:r>
      <w:r w:rsidRPr="008A5315">
        <w:rPr>
          <w:lang w:val="en-US"/>
        </w:rPr>
        <w:t xml:space="preserve"> </w:t>
      </w:r>
      <w:r w:rsidRPr="008A5315">
        <w:rPr>
          <w:b/>
          <w:lang w:val="en-US"/>
        </w:rPr>
        <w:t>Data</w:t>
      </w:r>
      <w:r w:rsidRPr="008A5315">
        <w:rPr>
          <w:lang w:val="en-US"/>
        </w:rPr>
        <w:t xml:space="preserve">. Working Paper Series Nº. 66. </w:t>
      </w:r>
      <w:proofErr w:type="spellStart"/>
      <w:r w:rsidRPr="008A5315">
        <w:rPr>
          <w:lang w:val="en-US"/>
        </w:rPr>
        <w:t>Fev</w:t>
      </w:r>
      <w:proofErr w:type="spellEnd"/>
      <w:r w:rsidRPr="008A5315">
        <w:rPr>
          <w:lang w:val="en-US"/>
        </w:rPr>
        <w:t>, 2012.</w:t>
      </w:r>
    </w:p>
    <w:p w14:paraId="7956ACB9" w14:textId="77777777" w:rsidR="002851FC" w:rsidRPr="008A5315" w:rsidRDefault="002851FC" w:rsidP="00D65271">
      <w:pPr>
        <w:spacing w:after="120" w:line="276" w:lineRule="auto"/>
        <w:jc w:val="both"/>
        <w:rPr>
          <w:caps/>
        </w:rPr>
      </w:pPr>
      <w:r w:rsidRPr="008A5315">
        <w:rPr>
          <w:bCs/>
          <w:lang w:val="en-US"/>
        </w:rPr>
        <w:t xml:space="preserve">LEWIS, J. </w:t>
      </w:r>
      <w:r w:rsidRPr="008A5315">
        <w:rPr>
          <w:b/>
          <w:bCs/>
          <w:lang w:val="en-US"/>
        </w:rPr>
        <w:t>Social Impacts of Corruption upon Community Resilience and Poverty</w:t>
      </w:r>
      <w:r w:rsidRPr="008A5315">
        <w:rPr>
          <w:bCs/>
          <w:lang w:val="en-US"/>
        </w:rPr>
        <w:t xml:space="preserve">. </w:t>
      </w:r>
      <w:proofErr w:type="spellStart"/>
      <w:r w:rsidRPr="008A5315">
        <w:t>Journal</w:t>
      </w:r>
      <w:proofErr w:type="spellEnd"/>
      <w:r w:rsidRPr="008A5315">
        <w:t xml:space="preserve"> </w:t>
      </w:r>
      <w:proofErr w:type="spellStart"/>
      <w:r w:rsidRPr="008A5315">
        <w:t>of</w:t>
      </w:r>
      <w:proofErr w:type="spellEnd"/>
      <w:r w:rsidRPr="008A5315">
        <w:t xml:space="preserve"> </w:t>
      </w:r>
      <w:proofErr w:type="spellStart"/>
      <w:r w:rsidRPr="008A5315">
        <w:t>Disaster</w:t>
      </w:r>
      <w:proofErr w:type="spellEnd"/>
      <w:r w:rsidRPr="008A5315">
        <w:t xml:space="preserve"> Risk </w:t>
      </w:r>
      <w:proofErr w:type="spellStart"/>
      <w:r w:rsidRPr="008A5315">
        <w:t>Studies</w:t>
      </w:r>
      <w:proofErr w:type="spellEnd"/>
      <w:r w:rsidRPr="008A5315">
        <w:t xml:space="preserve">. Vol. 9, nº 1, </w:t>
      </w:r>
      <w:proofErr w:type="spellStart"/>
      <w:r w:rsidRPr="008A5315">
        <w:t>mai</w:t>
      </w:r>
      <w:proofErr w:type="spellEnd"/>
      <w:r w:rsidRPr="008A5315">
        <w:t xml:space="preserve"> 2017.</w:t>
      </w:r>
    </w:p>
    <w:p w14:paraId="37F32956" w14:textId="77777777" w:rsidR="00C05D66" w:rsidRPr="008A5315" w:rsidRDefault="002851FC" w:rsidP="00D65271">
      <w:pPr>
        <w:spacing w:after="120" w:line="276" w:lineRule="auto"/>
        <w:jc w:val="both"/>
      </w:pPr>
      <w:r w:rsidRPr="008A5315">
        <w:t xml:space="preserve">MADDALA, G.S. </w:t>
      </w:r>
      <w:r w:rsidRPr="008A5315">
        <w:rPr>
          <w:b/>
        </w:rPr>
        <w:t>Introdução à Econometria</w:t>
      </w:r>
      <w:r w:rsidRPr="008A5315">
        <w:t>. Rio de Janeiro, LTC, 2003.</w:t>
      </w:r>
    </w:p>
    <w:p w14:paraId="08BCCF34" w14:textId="77777777" w:rsidR="000346B8" w:rsidRPr="008A5315" w:rsidRDefault="002851FC" w:rsidP="00D65271">
      <w:pPr>
        <w:spacing w:after="120" w:line="276" w:lineRule="auto"/>
        <w:jc w:val="both"/>
        <w:rPr>
          <w:lang w:val="en-US"/>
        </w:rPr>
      </w:pPr>
      <w:r w:rsidRPr="008A5315">
        <w:rPr>
          <w:lang w:val="en-US"/>
        </w:rPr>
        <w:t xml:space="preserve">NEGIN, V.; RASHID, Z. A.; NIKOPOUR, H. </w:t>
      </w:r>
      <w:r w:rsidRPr="008A5315">
        <w:rPr>
          <w:b/>
          <w:lang w:val="en-US"/>
        </w:rPr>
        <w:t xml:space="preserve">The Causal Relationship Between Corruption and Poverty: </w:t>
      </w:r>
      <w:proofErr w:type="gramStart"/>
      <w:r w:rsidRPr="008A5315">
        <w:rPr>
          <w:b/>
          <w:lang w:val="en-US"/>
        </w:rPr>
        <w:t>a</w:t>
      </w:r>
      <w:proofErr w:type="gramEnd"/>
      <w:r w:rsidRPr="008A5315">
        <w:rPr>
          <w:b/>
          <w:lang w:val="en-US"/>
        </w:rPr>
        <w:t xml:space="preserve"> Panel Data Analysis</w:t>
      </w:r>
      <w:r w:rsidRPr="008A5315">
        <w:rPr>
          <w:lang w:val="en-US"/>
        </w:rPr>
        <w:t xml:space="preserve">. Munich Personal </w:t>
      </w:r>
      <w:proofErr w:type="spellStart"/>
      <w:r w:rsidRPr="008A5315">
        <w:rPr>
          <w:lang w:val="en-US"/>
        </w:rPr>
        <w:t>Repec</w:t>
      </w:r>
      <w:proofErr w:type="spellEnd"/>
      <w:r w:rsidRPr="008A5315">
        <w:rPr>
          <w:lang w:val="en-US"/>
        </w:rPr>
        <w:t xml:space="preserve"> Archive - MPRA paper nº. 24871, </w:t>
      </w:r>
      <w:proofErr w:type="spellStart"/>
      <w:r w:rsidRPr="008A5315">
        <w:rPr>
          <w:lang w:val="en-US"/>
        </w:rPr>
        <w:t>jun</w:t>
      </w:r>
      <w:proofErr w:type="spellEnd"/>
      <w:r w:rsidRPr="008A5315">
        <w:rPr>
          <w:lang w:val="en-US"/>
        </w:rPr>
        <w:t xml:space="preserve"> 2010.</w:t>
      </w:r>
    </w:p>
    <w:p w14:paraId="57CB0F22" w14:textId="77777777" w:rsidR="000346B8" w:rsidRPr="008A5315" w:rsidRDefault="002851FC" w:rsidP="00D65271">
      <w:pPr>
        <w:spacing w:after="120" w:line="276" w:lineRule="auto"/>
        <w:jc w:val="both"/>
      </w:pPr>
      <w:r w:rsidRPr="008A5315">
        <w:rPr>
          <w:lang w:val="en-US"/>
        </w:rPr>
        <w:t xml:space="preserve">OGBORU; A. C. ABIMIKU. </w:t>
      </w:r>
      <w:r w:rsidRPr="008A5315">
        <w:rPr>
          <w:b/>
          <w:lang w:val="en-US"/>
        </w:rPr>
        <w:t>The Impact of Corruption on Poverty Reduction Efforts in Nigeria</w:t>
      </w:r>
      <w:r w:rsidRPr="008A5315">
        <w:rPr>
          <w:lang w:val="en-US"/>
        </w:rPr>
        <w:t xml:space="preserve">. </w:t>
      </w:r>
      <w:proofErr w:type="spellStart"/>
      <w:r w:rsidRPr="008A5315">
        <w:t>Department</w:t>
      </w:r>
      <w:proofErr w:type="spellEnd"/>
      <w:r w:rsidRPr="008A5315">
        <w:t xml:space="preserve"> </w:t>
      </w:r>
      <w:proofErr w:type="spellStart"/>
      <w:r w:rsidRPr="008A5315">
        <w:t>of</w:t>
      </w:r>
      <w:proofErr w:type="spellEnd"/>
      <w:r w:rsidRPr="008A5315">
        <w:t xml:space="preserve"> </w:t>
      </w:r>
      <w:proofErr w:type="spellStart"/>
      <w:r w:rsidRPr="008A5315">
        <w:t>Economics</w:t>
      </w:r>
      <w:proofErr w:type="spellEnd"/>
      <w:r w:rsidRPr="008A5315">
        <w:t xml:space="preserve"> </w:t>
      </w:r>
      <w:proofErr w:type="spellStart"/>
      <w:r w:rsidRPr="008A5315">
        <w:t>University</w:t>
      </w:r>
      <w:proofErr w:type="spellEnd"/>
      <w:r w:rsidRPr="008A5315">
        <w:t xml:space="preserve"> </w:t>
      </w:r>
      <w:proofErr w:type="spellStart"/>
      <w:r w:rsidRPr="008A5315">
        <w:t>of</w:t>
      </w:r>
      <w:proofErr w:type="spellEnd"/>
      <w:r w:rsidRPr="008A5315">
        <w:t xml:space="preserve"> </w:t>
      </w:r>
      <w:proofErr w:type="spellStart"/>
      <w:r w:rsidRPr="008A5315">
        <w:t>Jos</w:t>
      </w:r>
      <w:proofErr w:type="spellEnd"/>
      <w:r w:rsidRPr="008A5315">
        <w:t xml:space="preserve">. </w:t>
      </w:r>
      <w:proofErr w:type="spellStart"/>
      <w:r w:rsidRPr="008A5315">
        <w:t>Jos</w:t>
      </w:r>
      <w:proofErr w:type="spellEnd"/>
      <w:r w:rsidRPr="008A5315">
        <w:t>, mar 2015.</w:t>
      </w:r>
    </w:p>
    <w:p w14:paraId="7159B3A3" w14:textId="6C997FDC" w:rsidR="002851FC" w:rsidRPr="008A5315" w:rsidRDefault="002851FC" w:rsidP="00D65271">
      <w:pPr>
        <w:spacing w:after="120" w:line="276" w:lineRule="auto"/>
        <w:jc w:val="both"/>
      </w:pPr>
      <w:r w:rsidRPr="008A5315">
        <w:t xml:space="preserve">RIBEIRO, L. L.; ARAÚJO, J. A. </w:t>
      </w:r>
      <w:r w:rsidRPr="008A5315">
        <w:rPr>
          <w:b/>
        </w:rPr>
        <w:t>Capital Social e Pobreza no Brasil.</w:t>
      </w:r>
      <w:r w:rsidRPr="008A5315">
        <w:t xml:space="preserve"> Revista de Economia Política (impresso). Vol. 38, dez. 2018.</w:t>
      </w:r>
    </w:p>
    <w:p w14:paraId="194D5B78" w14:textId="7709DADA" w:rsidR="002851FC" w:rsidRPr="008A5315" w:rsidRDefault="002851FC" w:rsidP="00D65271">
      <w:pPr>
        <w:spacing w:after="120" w:line="276" w:lineRule="auto"/>
        <w:jc w:val="both"/>
        <w:rPr>
          <w:caps/>
        </w:rPr>
      </w:pPr>
      <w:r w:rsidRPr="008A5315">
        <w:t xml:space="preserve">RIBEIRO, L. L.; ARAÚJO, J. A.; FEITOSA, D. G. </w:t>
      </w:r>
      <w:r w:rsidRPr="008A5315">
        <w:rPr>
          <w:b/>
        </w:rPr>
        <w:t>Crescimento Pró-Pobre? Uma Análise para os Meios Urbano e Rural no Brasil</w:t>
      </w:r>
      <w:r w:rsidRPr="008A5315">
        <w:t xml:space="preserve">. Pesquisa e Planejamento Econômico – PPE. Vol. 45, nº 01, </w:t>
      </w:r>
      <w:proofErr w:type="spellStart"/>
      <w:r w:rsidRPr="008A5315">
        <w:t>abr</w:t>
      </w:r>
      <w:proofErr w:type="spellEnd"/>
      <w:r w:rsidRPr="008A5315">
        <w:t>, 2015.</w:t>
      </w:r>
    </w:p>
    <w:p w14:paraId="47BAC9C2" w14:textId="77777777" w:rsidR="002851FC" w:rsidRPr="008A5315" w:rsidRDefault="002851FC" w:rsidP="00D65271">
      <w:pPr>
        <w:spacing w:after="120" w:line="276" w:lineRule="auto"/>
        <w:jc w:val="both"/>
        <w:rPr>
          <w:lang w:val="en-US"/>
        </w:rPr>
      </w:pPr>
      <w:r w:rsidRPr="008A5315">
        <w:rPr>
          <w:caps/>
        </w:rPr>
        <w:t xml:space="preserve">SANTOS, R. T. </w:t>
      </w:r>
      <w:proofErr w:type="spellStart"/>
      <w:r w:rsidRPr="008A5315">
        <w:rPr>
          <w:b/>
        </w:rPr>
        <w:t>Corruption</w:t>
      </w:r>
      <w:proofErr w:type="spellEnd"/>
      <w:r w:rsidRPr="008A5315">
        <w:rPr>
          <w:b/>
        </w:rPr>
        <w:t xml:space="preserve"> </w:t>
      </w:r>
      <w:proofErr w:type="spellStart"/>
      <w:r w:rsidRPr="008A5315">
        <w:rPr>
          <w:b/>
        </w:rPr>
        <w:t>and</w:t>
      </w:r>
      <w:proofErr w:type="spellEnd"/>
      <w:r w:rsidRPr="008A5315">
        <w:rPr>
          <w:b/>
        </w:rPr>
        <w:t xml:space="preserve"> </w:t>
      </w:r>
      <w:proofErr w:type="spellStart"/>
      <w:r w:rsidRPr="008A5315">
        <w:rPr>
          <w:b/>
        </w:rPr>
        <w:t>Poverty</w:t>
      </w:r>
      <w:proofErr w:type="spellEnd"/>
      <w:r w:rsidRPr="008A5315">
        <w:t xml:space="preserve">. </w:t>
      </w:r>
      <w:r w:rsidRPr="008A5315">
        <w:rPr>
          <w:lang w:val="en-US"/>
        </w:rPr>
        <w:t>International Business and Economics Review. Barcelona, out. 2010.</w:t>
      </w:r>
    </w:p>
    <w:p w14:paraId="63DAF609" w14:textId="77777777" w:rsidR="002851FC" w:rsidRPr="008A5315" w:rsidRDefault="002851FC" w:rsidP="00D65271">
      <w:pPr>
        <w:spacing w:after="120" w:line="276" w:lineRule="auto"/>
        <w:jc w:val="both"/>
        <w:rPr>
          <w:lang w:val="en-US"/>
        </w:rPr>
      </w:pPr>
      <w:r w:rsidRPr="008A5315">
        <w:rPr>
          <w:lang w:val="en-US"/>
        </w:rPr>
        <w:t xml:space="preserve">SON, H. H. </w:t>
      </w:r>
      <w:r w:rsidRPr="008A5315">
        <w:rPr>
          <w:b/>
          <w:lang w:val="en-US"/>
        </w:rPr>
        <w:t>A Note on Pro-Poor Growth</w:t>
      </w:r>
      <w:r w:rsidRPr="008A5315">
        <w:rPr>
          <w:lang w:val="en-US"/>
        </w:rPr>
        <w:t>. Economics Letters, n. 82, p. 307-304, 2004.</w:t>
      </w:r>
    </w:p>
    <w:p w14:paraId="621D99F3" w14:textId="77777777" w:rsidR="002851FC" w:rsidRPr="008A5315" w:rsidRDefault="002851FC" w:rsidP="00D65271">
      <w:pPr>
        <w:spacing w:after="120" w:line="276" w:lineRule="auto"/>
        <w:jc w:val="both"/>
        <w:rPr>
          <w:caps/>
          <w:lang w:val="en-US"/>
        </w:rPr>
      </w:pPr>
      <w:r w:rsidRPr="008A5315">
        <w:rPr>
          <w:caps/>
          <w:lang w:val="en-US"/>
        </w:rPr>
        <w:t xml:space="preserve">Swamy, A.; Knack, S.; Lee, Y.; Azfar, O. </w:t>
      </w:r>
      <w:r w:rsidRPr="008A5315">
        <w:rPr>
          <w:b/>
          <w:lang w:val="en-US"/>
        </w:rPr>
        <w:t>Gender and Corruption</w:t>
      </w:r>
      <w:r w:rsidRPr="008A5315">
        <w:rPr>
          <w:lang w:val="en-US"/>
        </w:rPr>
        <w:t>. Journal of Development Economics. Vol 64,</w:t>
      </w:r>
      <w:r w:rsidRPr="008A5315">
        <w:rPr>
          <w:caps/>
          <w:lang w:val="en-US"/>
        </w:rPr>
        <w:t xml:space="preserve"> 2001.</w:t>
      </w:r>
    </w:p>
    <w:p w14:paraId="24A7E196" w14:textId="77777777" w:rsidR="002851FC" w:rsidRPr="008A5315" w:rsidRDefault="002851FC" w:rsidP="00D65271">
      <w:pPr>
        <w:spacing w:after="120" w:line="276" w:lineRule="auto"/>
        <w:jc w:val="both"/>
        <w:rPr>
          <w:lang w:val="en-US"/>
        </w:rPr>
      </w:pPr>
      <w:r w:rsidRPr="008A5315">
        <w:rPr>
          <w:lang w:val="en-US"/>
        </w:rPr>
        <w:t xml:space="preserve">TAFA. J. </w:t>
      </w:r>
      <w:r w:rsidRPr="008A5315">
        <w:rPr>
          <w:b/>
          <w:lang w:val="en-US"/>
        </w:rPr>
        <w:t>Examining the relationship of Corruption with Economic Growth, Poverty and Gender Inequality Albanian Case</w:t>
      </w:r>
      <w:r w:rsidRPr="008A5315">
        <w:rPr>
          <w:lang w:val="en-US"/>
        </w:rPr>
        <w:t xml:space="preserve">. European Journal of Social Sciences Education and Research. Vol. 1, nº.1, </w:t>
      </w:r>
      <w:proofErr w:type="spellStart"/>
      <w:r w:rsidRPr="008A5315">
        <w:rPr>
          <w:lang w:val="en-US"/>
        </w:rPr>
        <w:t>mai</w:t>
      </w:r>
      <w:proofErr w:type="spellEnd"/>
      <w:r w:rsidRPr="008A5315">
        <w:rPr>
          <w:lang w:val="en-US"/>
        </w:rPr>
        <w:t>. 2014.</w:t>
      </w:r>
    </w:p>
    <w:p w14:paraId="5785F6F5" w14:textId="77777777" w:rsidR="002851FC" w:rsidRPr="008A5315" w:rsidRDefault="002851FC" w:rsidP="00D65271">
      <w:pPr>
        <w:spacing w:after="120" w:line="276" w:lineRule="auto"/>
        <w:jc w:val="both"/>
        <w:rPr>
          <w:lang w:val="en-US"/>
        </w:rPr>
      </w:pPr>
      <w:r w:rsidRPr="008A5315">
        <w:rPr>
          <w:lang w:val="en-US"/>
        </w:rPr>
        <w:t xml:space="preserve">TANZI, V.  </w:t>
      </w:r>
      <w:r w:rsidRPr="008A5315">
        <w:rPr>
          <w:b/>
          <w:lang w:val="en-US"/>
        </w:rPr>
        <w:t>Corruption Around the World:  Causes, Consequences, Scope and Cures</w:t>
      </w:r>
      <w:r w:rsidRPr="008A5315">
        <w:rPr>
          <w:lang w:val="en-US"/>
        </w:rPr>
        <w:t>. IMF Staff Papers. Vol 45, nº 4, 1998.</w:t>
      </w:r>
    </w:p>
    <w:p w14:paraId="495FE913" w14:textId="77777777" w:rsidR="002851FC" w:rsidRPr="008A5315" w:rsidRDefault="002851FC" w:rsidP="00D65271">
      <w:pPr>
        <w:spacing w:after="120" w:line="276" w:lineRule="auto"/>
        <w:jc w:val="both"/>
        <w:rPr>
          <w:lang w:val="en-US"/>
        </w:rPr>
      </w:pPr>
      <w:r w:rsidRPr="008A5315">
        <w:rPr>
          <w:lang w:val="en-US"/>
        </w:rPr>
        <w:t>TENZIN, G.; NATSUDA, K.</w:t>
      </w:r>
      <w:r w:rsidRPr="008A5315">
        <w:rPr>
          <w:b/>
          <w:lang w:val="en-US"/>
        </w:rPr>
        <w:t xml:space="preserve"> Impact of Social Capital on Poverty: A Case of Rural Households in Eastern Bhutan. </w:t>
      </w:r>
      <w:r w:rsidRPr="008A5315">
        <w:rPr>
          <w:lang w:val="en-US"/>
        </w:rPr>
        <w:t>RCAPS Working Paper Series, University, Japan. Set, 2013.</w:t>
      </w:r>
    </w:p>
    <w:p w14:paraId="7F7D5018" w14:textId="77777777" w:rsidR="002851FC" w:rsidRPr="008A5315" w:rsidRDefault="002851FC" w:rsidP="00D65271">
      <w:pPr>
        <w:spacing w:after="120" w:line="276" w:lineRule="auto"/>
        <w:jc w:val="both"/>
      </w:pPr>
      <w:r w:rsidRPr="008A5315">
        <w:rPr>
          <w:lang w:val="en-US"/>
        </w:rPr>
        <w:lastRenderedPageBreak/>
        <w:t xml:space="preserve">TRANSPARÊNCIA INTERNACIONAL BRASIL. </w:t>
      </w:r>
      <w:r w:rsidRPr="008A5315">
        <w:rPr>
          <w:b/>
        </w:rPr>
        <w:t>Índice de Percepção da Corrupção, Ranking Global</w:t>
      </w:r>
      <w:r w:rsidRPr="008A5315">
        <w:t xml:space="preserve">. </w:t>
      </w:r>
      <w:proofErr w:type="spellStart"/>
      <w:r w:rsidRPr="008A5315">
        <w:t>www</w:t>
      </w:r>
      <w:proofErr w:type="spellEnd"/>
      <w:r w:rsidRPr="008A5315">
        <w:t>. Ipc2018.transparenciainternacional.org.br/ Acesso em 26 de fev. de 2019.</w:t>
      </w:r>
    </w:p>
    <w:p w14:paraId="0576B2E4" w14:textId="77777777" w:rsidR="002851FC" w:rsidRPr="008A5315" w:rsidRDefault="002851FC" w:rsidP="00D65271">
      <w:pPr>
        <w:spacing w:after="120" w:line="276" w:lineRule="auto"/>
        <w:jc w:val="both"/>
        <w:rPr>
          <w:caps/>
          <w:lang w:val="en-US"/>
        </w:rPr>
      </w:pPr>
      <w:r w:rsidRPr="008A5315">
        <w:t xml:space="preserve">ÜNVER, M.; KOYUNCU, J. Y. </w:t>
      </w:r>
      <w:r w:rsidRPr="008A5315">
        <w:rPr>
          <w:b/>
        </w:rPr>
        <w:t xml:space="preserve">The </w:t>
      </w:r>
      <w:proofErr w:type="spellStart"/>
      <w:r w:rsidRPr="008A5315">
        <w:rPr>
          <w:b/>
        </w:rPr>
        <w:t>Impact</w:t>
      </w:r>
      <w:proofErr w:type="spellEnd"/>
      <w:r w:rsidRPr="008A5315">
        <w:rPr>
          <w:b/>
        </w:rPr>
        <w:t xml:space="preserve"> </w:t>
      </w:r>
      <w:proofErr w:type="spellStart"/>
      <w:r w:rsidRPr="008A5315">
        <w:rPr>
          <w:b/>
        </w:rPr>
        <w:t>of</w:t>
      </w:r>
      <w:proofErr w:type="spellEnd"/>
      <w:r w:rsidRPr="008A5315">
        <w:rPr>
          <w:b/>
        </w:rPr>
        <w:t xml:space="preserve"> </w:t>
      </w:r>
      <w:proofErr w:type="spellStart"/>
      <w:r w:rsidRPr="008A5315">
        <w:rPr>
          <w:b/>
        </w:rPr>
        <w:t>Poverty</w:t>
      </w:r>
      <w:proofErr w:type="spellEnd"/>
      <w:r w:rsidRPr="008A5315">
        <w:rPr>
          <w:b/>
        </w:rPr>
        <w:t xml:space="preserve"> </w:t>
      </w:r>
      <w:proofErr w:type="spellStart"/>
      <w:r w:rsidRPr="008A5315">
        <w:rPr>
          <w:b/>
        </w:rPr>
        <w:t>on</w:t>
      </w:r>
      <w:proofErr w:type="spellEnd"/>
      <w:r w:rsidRPr="008A5315">
        <w:rPr>
          <w:b/>
        </w:rPr>
        <w:t xml:space="preserve"> </w:t>
      </w:r>
      <w:proofErr w:type="spellStart"/>
      <w:r w:rsidRPr="008A5315">
        <w:rPr>
          <w:b/>
        </w:rPr>
        <w:t>Corruption</w:t>
      </w:r>
      <w:proofErr w:type="spellEnd"/>
      <w:r w:rsidRPr="008A5315">
        <w:t xml:space="preserve">. </w:t>
      </w:r>
      <w:r w:rsidRPr="008A5315">
        <w:rPr>
          <w:lang w:val="en-US"/>
        </w:rPr>
        <w:t xml:space="preserve">Journal of Economics Library. Vol 3, nº 4, </w:t>
      </w:r>
      <w:proofErr w:type="spellStart"/>
      <w:r w:rsidRPr="008A5315">
        <w:rPr>
          <w:lang w:val="en-US"/>
        </w:rPr>
        <w:t>dez</w:t>
      </w:r>
      <w:proofErr w:type="spellEnd"/>
      <w:r w:rsidRPr="008A5315">
        <w:rPr>
          <w:lang w:val="en-US"/>
        </w:rPr>
        <w:t xml:space="preserve"> 2016.</w:t>
      </w:r>
    </w:p>
    <w:p w14:paraId="35B98635" w14:textId="77777777" w:rsidR="002851FC" w:rsidRPr="008A5315" w:rsidRDefault="002851FC" w:rsidP="00D65271">
      <w:pPr>
        <w:spacing w:after="120" w:line="276" w:lineRule="auto"/>
        <w:jc w:val="both"/>
        <w:rPr>
          <w:lang w:val="en-US"/>
        </w:rPr>
      </w:pPr>
      <w:r w:rsidRPr="008A5315">
        <w:t xml:space="preserve">VIEIRA, K. M.; CERETTA, P. S.; FONSECA, J. L. </w:t>
      </w:r>
      <w:r w:rsidRPr="008A5315">
        <w:rPr>
          <w:b/>
          <w:bCs/>
        </w:rPr>
        <w:t xml:space="preserve">Influência da Variação da Liquidez na Precificação de Ativos: Análise em Painel do Mercado Brasileiro no Período de Janeiro de 2000 a </w:t>
      </w:r>
      <w:proofErr w:type="gramStart"/>
      <w:r w:rsidRPr="008A5315">
        <w:rPr>
          <w:b/>
          <w:bCs/>
        </w:rPr>
        <w:t>Junho</w:t>
      </w:r>
      <w:proofErr w:type="gramEnd"/>
      <w:r w:rsidRPr="008A5315">
        <w:rPr>
          <w:b/>
          <w:bCs/>
        </w:rPr>
        <w:t xml:space="preserve"> de 2008</w:t>
      </w:r>
      <w:r w:rsidRPr="008A5315">
        <w:t xml:space="preserve">. </w:t>
      </w:r>
      <w:r w:rsidRPr="008A5315">
        <w:rPr>
          <w:lang w:val="en-US"/>
        </w:rPr>
        <w:t xml:space="preserve">BBR – Brazilian Business Review, v. 8, nº 3. </w:t>
      </w:r>
      <w:proofErr w:type="spellStart"/>
      <w:r w:rsidRPr="008A5315">
        <w:rPr>
          <w:lang w:val="en-US"/>
        </w:rPr>
        <w:t>jul</w:t>
      </w:r>
      <w:proofErr w:type="spellEnd"/>
      <w:r w:rsidRPr="008A5315">
        <w:rPr>
          <w:lang w:val="en-US"/>
        </w:rPr>
        <w:t>-set. p. 41-65, 2011.</w:t>
      </w:r>
    </w:p>
    <w:p w14:paraId="295E6DA1" w14:textId="69384A7E" w:rsidR="002851FC" w:rsidRPr="008A5315" w:rsidRDefault="002851FC" w:rsidP="00D65271">
      <w:pPr>
        <w:spacing w:after="120" w:line="276" w:lineRule="auto"/>
        <w:jc w:val="both"/>
      </w:pPr>
      <w:r w:rsidRPr="008A5315">
        <w:rPr>
          <w:lang w:val="en-US"/>
        </w:rPr>
        <w:t>WICK</w:t>
      </w:r>
      <w:r w:rsidR="00F56EFE" w:rsidRPr="008A5315">
        <w:rPr>
          <w:lang w:val="en-US"/>
        </w:rPr>
        <w:t>B</w:t>
      </w:r>
      <w:r w:rsidRPr="008A5315">
        <w:rPr>
          <w:lang w:val="en-US"/>
        </w:rPr>
        <w:t xml:space="preserve">ERG, S. </w:t>
      </w:r>
      <w:r w:rsidRPr="008A5315">
        <w:rPr>
          <w:b/>
          <w:lang w:val="en-US"/>
        </w:rPr>
        <w:t>Review of Literature on the Link between Corruption, Poverty and Conflict, and Evidence of the Impact of Corruption on Donor Interventions</w:t>
      </w:r>
      <w:r w:rsidRPr="008A5315">
        <w:rPr>
          <w:lang w:val="en-US"/>
        </w:rPr>
        <w:t xml:space="preserve">. </w:t>
      </w:r>
      <w:proofErr w:type="spellStart"/>
      <w:r w:rsidRPr="008A5315">
        <w:t>Transparency</w:t>
      </w:r>
      <w:proofErr w:type="spellEnd"/>
      <w:r w:rsidRPr="008A5315">
        <w:t xml:space="preserve"> </w:t>
      </w:r>
      <w:proofErr w:type="spellStart"/>
      <w:r w:rsidRPr="008A5315">
        <w:t>International</w:t>
      </w:r>
      <w:proofErr w:type="spellEnd"/>
      <w:r w:rsidRPr="008A5315">
        <w:t>, 2012.</w:t>
      </w:r>
    </w:p>
    <w:p w14:paraId="26A0932E" w14:textId="77777777" w:rsidR="002851FC" w:rsidRPr="008A5315" w:rsidRDefault="002851FC" w:rsidP="00D65271">
      <w:pPr>
        <w:spacing w:after="120" w:line="276" w:lineRule="auto"/>
        <w:jc w:val="both"/>
        <w:rPr>
          <w:lang w:val="en-US"/>
        </w:rPr>
      </w:pPr>
      <w:r w:rsidRPr="008A5315">
        <w:rPr>
          <w:shd w:val="clear" w:color="auto" w:fill="FFFFFF"/>
        </w:rPr>
        <w:t xml:space="preserve">WOOLDRIDGE, J. M. </w:t>
      </w:r>
      <w:r w:rsidRPr="008A5315">
        <w:rPr>
          <w:b/>
          <w:bCs/>
          <w:shd w:val="clear" w:color="auto" w:fill="FFFFFF"/>
        </w:rPr>
        <w:t>Introdução à Econometria</w:t>
      </w:r>
      <w:r w:rsidRPr="008A5315">
        <w:rPr>
          <w:shd w:val="clear" w:color="auto" w:fill="FFFFFF"/>
        </w:rPr>
        <w:t xml:space="preserve">: uma Abordagem Moderna. </w:t>
      </w:r>
      <w:r w:rsidRPr="008A5315">
        <w:rPr>
          <w:shd w:val="clear" w:color="auto" w:fill="FFFFFF"/>
          <w:lang w:val="en-US"/>
        </w:rPr>
        <w:t>São Paulo: Cengage Learning. 2008.</w:t>
      </w:r>
    </w:p>
    <w:p w14:paraId="793B0F71" w14:textId="77777777" w:rsidR="002851FC" w:rsidRPr="008A5315" w:rsidRDefault="002851FC" w:rsidP="00D65271">
      <w:pPr>
        <w:spacing w:after="120" w:line="276" w:lineRule="auto"/>
        <w:jc w:val="both"/>
        <w:rPr>
          <w:shd w:val="clear" w:color="auto" w:fill="FFFFFF"/>
        </w:rPr>
      </w:pPr>
      <w:r w:rsidRPr="008A5315">
        <w:rPr>
          <w:shd w:val="clear" w:color="auto" w:fill="FFFFFF"/>
          <w:lang w:val="en-US"/>
        </w:rPr>
        <w:t>WOOLDRIDGE, J. M.</w:t>
      </w:r>
      <w:r w:rsidRPr="008A5315">
        <w:rPr>
          <w:lang w:val="en-US"/>
        </w:rPr>
        <w:t> </w:t>
      </w:r>
      <w:r w:rsidRPr="008A5315">
        <w:rPr>
          <w:b/>
          <w:bCs/>
          <w:shd w:val="clear" w:color="auto" w:fill="FFFFFF"/>
          <w:lang w:val="en-US"/>
        </w:rPr>
        <w:t>Econometric Analysis of Cross Section and Panel Data</w:t>
      </w:r>
      <w:r w:rsidRPr="008A5315">
        <w:rPr>
          <w:shd w:val="clear" w:color="auto" w:fill="FFFFFF"/>
          <w:lang w:val="en-US"/>
        </w:rPr>
        <w:t xml:space="preserve">. </w:t>
      </w:r>
      <w:r w:rsidRPr="008A5315">
        <w:rPr>
          <w:shd w:val="clear" w:color="auto" w:fill="FFFFFF"/>
        </w:rPr>
        <w:t xml:space="preserve">MIT </w:t>
      </w:r>
      <w:proofErr w:type="spellStart"/>
      <w:r w:rsidRPr="008A5315">
        <w:rPr>
          <w:shd w:val="clear" w:color="auto" w:fill="FFFFFF"/>
        </w:rPr>
        <w:t>press</w:t>
      </w:r>
      <w:proofErr w:type="spellEnd"/>
      <w:r w:rsidRPr="008A5315">
        <w:rPr>
          <w:shd w:val="clear" w:color="auto" w:fill="FFFFFF"/>
        </w:rPr>
        <w:t>, 2010.</w:t>
      </w:r>
    </w:p>
    <w:sectPr w:rsidR="002851FC" w:rsidRPr="008A5315" w:rsidSect="00DC2FC8">
      <w:footerReference w:type="default" r:id="rId1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0BF7D" w14:textId="77777777" w:rsidR="00174140" w:rsidRDefault="00174140" w:rsidP="0026668F">
      <w:r>
        <w:separator/>
      </w:r>
    </w:p>
  </w:endnote>
  <w:endnote w:type="continuationSeparator" w:id="0">
    <w:p w14:paraId="5BEA9BC4" w14:textId="77777777" w:rsidR="00174140" w:rsidRDefault="00174140" w:rsidP="0026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517991745"/>
      <w:docPartObj>
        <w:docPartGallery w:val="Page Numbers (Bottom of Page)"/>
        <w:docPartUnique/>
      </w:docPartObj>
    </w:sdtPr>
    <w:sdtEndPr/>
    <w:sdtContent>
      <w:p w14:paraId="31B0F71B" w14:textId="0DB4872C" w:rsidR="008E7CA4" w:rsidRPr="00242AEE" w:rsidRDefault="008E7CA4">
        <w:pPr>
          <w:pStyle w:val="Rodap"/>
          <w:jc w:val="right"/>
          <w:rPr>
            <w:rFonts w:ascii="Times New Roman" w:hAnsi="Times New Roman" w:cs="Times New Roman"/>
            <w:sz w:val="24"/>
            <w:szCs w:val="24"/>
          </w:rPr>
        </w:pPr>
        <w:r w:rsidRPr="00242AEE">
          <w:rPr>
            <w:rFonts w:ascii="Times New Roman" w:hAnsi="Times New Roman" w:cs="Times New Roman"/>
            <w:sz w:val="24"/>
            <w:szCs w:val="24"/>
          </w:rPr>
          <w:fldChar w:fldCharType="begin"/>
        </w:r>
        <w:r w:rsidRPr="00242AEE">
          <w:rPr>
            <w:rFonts w:ascii="Times New Roman" w:hAnsi="Times New Roman" w:cs="Times New Roman"/>
            <w:sz w:val="24"/>
            <w:szCs w:val="24"/>
          </w:rPr>
          <w:instrText>PAGE   \* MERGEFORMAT</w:instrText>
        </w:r>
        <w:r w:rsidRPr="00242AEE">
          <w:rPr>
            <w:rFonts w:ascii="Times New Roman" w:hAnsi="Times New Roman" w:cs="Times New Roman"/>
            <w:sz w:val="24"/>
            <w:szCs w:val="24"/>
          </w:rPr>
          <w:fldChar w:fldCharType="separate"/>
        </w:r>
        <w:r>
          <w:rPr>
            <w:rFonts w:ascii="Times New Roman" w:hAnsi="Times New Roman" w:cs="Times New Roman"/>
            <w:noProof/>
            <w:sz w:val="24"/>
            <w:szCs w:val="24"/>
          </w:rPr>
          <w:t>21</w:t>
        </w:r>
        <w:r w:rsidRPr="00242AEE">
          <w:rPr>
            <w:rFonts w:ascii="Times New Roman" w:hAnsi="Times New Roman" w:cs="Times New Roman"/>
            <w:sz w:val="24"/>
            <w:szCs w:val="24"/>
          </w:rPr>
          <w:fldChar w:fldCharType="end"/>
        </w:r>
      </w:p>
    </w:sdtContent>
  </w:sdt>
  <w:p w14:paraId="6D048E10" w14:textId="77777777" w:rsidR="008E7CA4" w:rsidRDefault="008E7CA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2DEFA" w14:textId="77777777" w:rsidR="00174140" w:rsidRDefault="00174140" w:rsidP="0026668F">
      <w:r>
        <w:separator/>
      </w:r>
    </w:p>
  </w:footnote>
  <w:footnote w:type="continuationSeparator" w:id="0">
    <w:p w14:paraId="1894E1A7" w14:textId="77777777" w:rsidR="00174140" w:rsidRDefault="00174140" w:rsidP="0026668F">
      <w:r>
        <w:continuationSeparator/>
      </w:r>
    </w:p>
  </w:footnote>
  <w:footnote w:id="1">
    <w:p w14:paraId="13B01C4D" w14:textId="77777777" w:rsidR="008E7CA4" w:rsidRPr="00E047B2" w:rsidRDefault="008E7CA4" w:rsidP="00E047B2">
      <w:pPr>
        <w:pStyle w:val="Textodenotaderodap"/>
        <w:jc w:val="both"/>
        <w:rPr>
          <w:rFonts w:ascii="Times New Roman" w:hAnsi="Times New Roman" w:cs="Times New Roman"/>
        </w:rPr>
      </w:pPr>
      <w:r w:rsidRPr="00E047B2">
        <w:rPr>
          <w:rStyle w:val="Refdenotaderodap"/>
          <w:rFonts w:ascii="Times New Roman" w:hAnsi="Times New Roman" w:cs="Times New Roman"/>
        </w:rPr>
        <w:footnoteRef/>
      </w:r>
      <w:r w:rsidRPr="00E047B2">
        <w:rPr>
          <w:rFonts w:ascii="Times New Roman" w:hAnsi="Times New Roman" w:cs="Times New Roman"/>
        </w:rPr>
        <w:t xml:space="preserve"> </w:t>
      </w:r>
      <w:r w:rsidRPr="00993CCC">
        <w:rPr>
          <w:rFonts w:ascii="Times New Roman" w:eastAsia="Times New Roman" w:hAnsi="Times New Roman" w:cs="Times New Roman"/>
          <w:i/>
          <w:color w:val="222222"/>
          <w:lang w:eastAsia="pt-BR"/>
        </w:rPr>
        <w:t>Transparency International</w:t>
      </w:r>
      <w:r w:rsidRPr="00993CCC">
        <w:rPr>
          <w:rFonts w:ascii="Times New Roman" w:hAnsi="Times New Roman" w:cs="Times New Roman"/>
          <w:i/>
        </w:rPr>
        <w:t xml:space="preserve"> </w:t>
      </w:r>
      <w:r w:rsidRPr="00B103D4">
        <w:rPr>
          <w:rFonts w:ascii="Times New Roman" w:hAnsi="Times New Roman" w:cs="Times New Roman"/>
        </w:rPr>
        <w:t>(TI)</w:t>
      </w:r>
      <w:r>
        <w:rPr>
          <w:rFonts w:ascii="Times New Roman" w:hAnsi="Times New Roman" w:cs="Times New Roman"/>
        </w:rPr>
        <w:t xml:space="preserve"> é uma </w:t>
      </w:r>
      <w:r w:rsidRPr="00E047B2">
        <w:rPr>
          <w:rFonts w:ascii="Times New Roman" w:hAnsi="Times New Roman" w:cs="Times New Roman"/>
        </w:rPr>
        <w:t>Organização não governamental fundada em 1993 com sede em Berlim</w:t>
      </w:r>
      <w:r>
        <w:rPr>
          <w:rFonts w:ascii="Times New Roman" w:hAnsi="Times New Roman" w:cs="Times New Roman"/>
        </w:rPr>
        <w:t xml:space="preserve"> e</w:t>
      </w:r>
      <w:r w:rsidRPr="00E047B2">
        <w:rPr>
          <w:rFonts w:ascii="Times New Roman" w:hAnsi="Times New Roman" w:cs="Times New Roman"/>
        </w:rPr>
        <w:t xml:space="preserve"> voltada para a luta contra a corrupção no mundo. A ONG </w:t>
      </w:r>
      <w:r>
        <w:rPr>
          <w:rFonts w:ascii="Times New Roman" w:hAnsi="Times New Roman" w:cs="Times New Roman"/>
        </w:rPr>
        <w:t>que é mundialmente reconhecida, possui</w:t>
      </w:r>
      <w:r w:rsidRPr="00E047B2">
        <w:rPr>
          <w:rFonts w:ascii="Times New Roman" w:hAnsi="Times New Roman" w:cs="Times New Roman"/>
        </w:rPr>
        <w:t xml:space="preserve"> um amplo conj</w:t>
      </w:r>
      <w:r>
        <w:rPr>
          <w:rFonts w:ascii="Times New Roman" w:hAnsi="Times New Roman" w:cs="Times New Roman"/>
        </w:rPr>
        <w:t>unto de ferramentas e estudos direcionados ao</w:t>
      </w:r>
      <w:r w:rsidRPr="00E047B2">
        <w:rPr>
          <w:rFonts w:ascii="Times New Roman" w:hAnsi="Times New Roman" w:cs="Times New Roman"/>
        </w:rPr>
        <w:t xml:space="preserve"> combate da corrupção.</w:t>
      </w:r>
    </w:p>
  </w:footnote>
  <w:footnote w:id="2">
    <w:p w14:paraId="663A707D" w14:textId="77777777" w:rsidR="008E7CA4" w:rsidRPr="00ED337B" w:rsidRDefault="008E7CA4" w:rsidP="0030009D">
      <w:pPr>
        <w:pStyle w:val="Textodenotaderodap"/>
        <w:jc w:val="both"/>
        <w:rPr>
          <w:rFonts w:ascii="Times New Roman" w:hAnsi="Times New Roman" w:cs="Times New Roman"/>
        </w:rPr>
      </w:pPr>
      <w:r w:rsidRPr="00ED046A">
        <w:rPr>
          <w:rStyle w:val="Refdenotaderodap"/>
          <w:rFonts w:ascii="Times New Roman" w:hAnsi="Times New Roman" w:cs="Times New Roman"/>
        </w:rPr>
        <w:footnoteRef/>
      </w:r>
      <w:r w:rsidRPr="00ED046A">
        <w:rPr>
          <w:rFonts w:ascii="Times New Roman" w:hAnsi="Times New Roman" w:cs="Times New Roman"/>
        </w:rPr>
        <w:t xml:space="preserve"> </w:t>
      </w:r>
      <w:r w:rsidRPr="00ED337B">
        <w:rPr>
          <w:rFonts w:ascii="Times New Roman" w:hAnsi="Times New Roman" w:cs="Times New Roman"/>
        </w:rPr>
        <w:t>Organização para a Cooperação e Desenvolvimento Econômico.</w:t>
      </w:r>
    </w:p>
  </w:footnote>
  <w:footnote w:id="3">
    <w:p w14:paraId="6AFA664A" w14:textId="77777777" w:rsidR="008E7CA4" w:rsidRPr="003A3ABD" w:rsidRDefault="008E7CA4" w:rsidP="00410FD4">
      <w:pPr>
        <w:pStyle w:val="Textodenotaderodap"/>
        <w:jc w:val="both"/>
        <w:rPr>
          <w:rFonts w:ascii="Times New Roman" w:hAnsi="Times New Roman" w:cs="Times New Roman"/>
        </w:rPr>
      </w:pPr>
      <w:r w:rsidRPr="00410FD4">
        <w:rPr>
          <w:rStyle w:val="Refdenotaderodap"/>
          <w:rFonts w:ascii="Times New Roman" w:hAnsi="Times New Roman" w:cs="Times New Roman"/>
        </w:rPr>
        <w:footnoteRef/>
      </w:r>
      <w:r w:rsidRPr="00410FD4">
        <w:rPr>
          <w:rFonts w:ascii="Times New Roman" w:hAnsi="Times New Roman" w:cs="Times New Roman"/>
        </w:rPr>
        <w:t xml:space="preserve"> </w:t>
      </w:r>
      <w:r>
        <w:rPr>
          <w:rFonts w:ascii="Times New Roman" w:hAnsi="Times New Roman" w:cs="Times New Roman"/>
        </w:rPr>
        <w:t>Em linhas gerais, o CPI</w:t>
      </w:r>
      <w:r w:rsidRPr="003A3ABD">
        <w:rPr>
          <w:rFonts w:ascii="Times New Roman" w:hAnsi="Times New Roman" w:cs="Times New Roman"/>
        </w:rPr>
        <w:t xml:space="preserve"> indica o quão disposto está o setor empresarial em se engajar em práticas corruptas, como por exemplo, a propina</w:t>
      </w:r>
      <w:r>
        <w:rPr>
          <w:rFonts w:ascii="Times New Roman" w:hAnsi="Times New Roman" w:cs="Times New Roman"/>
        </w:rPr>
        <w:t>. Além desse indicador</w:t>
      </w:r>
      <w:r w:rsidRPr="00410FD4">
        <w:rPr>
          <w:rFonts w:ascii="Times New Roman" w:hAnsi="Times New Roman" w:cs="Times New Roman"/>
        </w:rPr>
        <w:t xml:space="preserve">, a transparência internacional calcula e publica anualmente outro </w:t>
      </w:r>
      <w:r w:rsidRPr="003A3ABD">
        <w:rPr>
          <w:rFonts w:ascii="Times New Roman" w:hAnsi="Times New Roman" w:cs="Times New Roman"/>
        </w:rPr>
        <w:t xml:space="preserve">índice, pouco conhecido, o </w:t>
      </w:r>
      <w:r w:rsidRPr="003A3ABD">
        <w:rPr>
          <w:rFonts w:ascii="Times New Roman" w:hAnsi="Times New Roman" w:cs="Times New Roman"/>
          <w:i/>
        </w:rPr>
        <w:t>Bribe Payers Index (BPI)</w:t>
      </w:r>
      <w:r>
        <w:rPr>
          <w:rFonts w:ascii="Times New Roman" w:hAnsi="Times New Roman" w:cs="Times New Roman"/>
          <w:i/>
        </w:rPr>
        <w:t xml:space="preserve">. </w:t>
      </w:r>
      <w:r>
        <w:rPr>
          <w:rFonts w:ascii="Times New Roman" w:hAnsi="Times New Roman" w:cs="Times New Roman"/>
        </w:rPr>
        <w:t>C</w:t>
      </w:r>
      <w:r w:rsidRPr="003A3ABD">
        <w:rPr>
          <w:rFonts w:ascii="Times New Roman" w:hAnsi="Times New Roman" w:cs="Times New Roman"/>
        </w:rPr>
        <w:t>ontudo,</w:t>
      </w:r>
      <w:r>
        <w:rPr>
          <w:rFonts w:ascii="Times New Roman" w:hAnsi="Times New Roman" w:cs="Times New Roman"/>
        </w:rPr>
        <w:t xml:space="preserve"> o BPI</w:t>
      </w:r>
      <w:r w:rsidRPr="003A3ABD">
        <w:rPr>
          <w:rFonts w:ascii="Times New Roman" w:hAnsi="Times New Roman" w:cs="Times New Roman"/>
        </w:rPr>
        <w:t xml:space="preserve"> é mais restrito que o CPI por englobar um número menor de países, apenas vinte e dois no mundo todo.</w:t>
      </w:r>
    </w:p>
  </w:footnote>
  <w:footnote w:id="4">
    <w:p w14:paraId="233320E4" w14:textId="77777777" w:rsidR="008E7CA4" w:rsidRPr="003A3ABD" w:rsidRDefault="008E7CA4" w:rsidP="000A41C3">
      <w:pPr>
        <w:pStyle w:val="Textodenotaderodap"/>
        <w:jc w:val="both"/>
        <w:rPr>
          <w:rFonts w:ascii="Times New Roman" w:hAnsi="Times New Roman" w:cs="Times New Roman"/>
        </w:rPr>
      </w:pPr>
      <w:r w:rsidRPr="003A3ABD">
        <w:rPr>
          <w:rStyle w:val="Refdenotaderodap"/>
          <w:rFonts w:ascii="Times New Roman" w:hAnsi="Times New Roman" w:cs="Times New Roman"/>
        </w:rPr>
        <w:footnoteRef/>
      </w:r>
      <w:r w:rsidRPr="003A3ABD">
        <w:rPr>
          <w:rFonts w:ascii="Times New Roman" w:hAnsi="Times New Roman" w:cs="Times New Roman"/>
        </w:rPr>
        <w:t xml:space="preserve"> WGI medem a qualidade da governança em mais de duzentos países desde 1996, contemplando seis dimensões-chave, dentre os quais o controle da corrupção (CARBALLO, 2009).</w:t>
      </w:r>
    </w:p>
  </w:footnote>
  <w:footnote w:id="5">
    <w:p w14:paraId="7B8195FA" w14:textId="617229C1" w:rsidR="008E7CA4" w:rsidRPr="006F4B63" w:rsidRDefault="008E7CA4" w:rsidP="00563AE9">
      <w:pPr>
        <w:pStyle w:val="Textodenotaderodap"/>
        <w:rPr>
          <w:rFonts w:ascii="Times New Roman" w:hAnsi="Times New Roman" w:cs="Times New Roman"/>
        </w:rPr>
      </w:pPr>
      <w:r w:rsidRPr="006F4B63">
        <w:rPr>
          <w:rStyle w:val="Refdenotaderodap"/>
          <w:rFonts w:ascii="Times New Roman" w:hAnsi="Times New Roman" w:cs="Times New Roman"/>
        </w:rPr>
        <w:footnoteRef/>
      </w:r>
      <w:r w:rsidRPr="006F4B63">
        <w:rPr>
          <w:rFonts w:ascii="Times New Roman" w:hAnsi="Times New Roman" w:cs="Times New Roman"/>
        </w:rPr>
        <w:t xml:space="preserve"> Ver, por exemplo, Ribeiro e Araújo (2018); Tenzin e Natsuda (2013) e Kimsun (2012).</w:t>
      </w:r>
    </w:p>
  </w:footnote>
  <w:footnote w:id="6">
    <w:p w14:paraId="193374DA" w14:textId="3F8E2D92" w:rsidR="008E7CA4" w:rsidRPr="00C80FEE" w:rsidRDefault="008E7CA4" w:rsidP="00C80FEE">
      <w:pPr>
        <w:pStyle w:val="Textodenotaderodap"/>
        <w:jc w:val="both"/>
        <w:rPr>
          <w:rFonts w:ascii="Times New Roman" w:hAnsi="Times New Roman" w:cs="Times New Roman"/>
        </w:rPr>
      </w:pPr>
      <w:r w:rsidRPr="00C80FEE">
        <w:rPr>
          <w:rStyle w:val="Refdenotaderodap"/>
          <w:rFonts w:ascii="Times New Roman" w:hAnsi="Times New Roman" w:cs="Times New Roman"/>
        </w:rPr>
        <w:footnoteRef/>
      </w:r>
      <w:r w:rsidRPr="00C80FEE">
        <w:rPr>
          <w:rFonts w:ascii="Times New Roman" w:hAnsi="Times New Roman" w:cs="Times New Roman"/>
        </w:rPr>
        <w:t xml:space="preserve"> Lembrando que esse e outros índices </w:t>
      </w:r>
      <w:r>
        <w:rPr>
          <w:rFonts w:ascii="Times New Roman" w:hAnsi="Times New Roman" w:cs="Times New Roman"/>
        </w:rPr>
        <w:t xml:space="preserve">de corrupção </w:t>
      </w:r>
      <w:r w:rsidRPr="00C80FEE">
        <w:rPr>
          <w:rFonts w:ascii="Times New Roman" w:hAnsi="Times New Roman" w:cs="Times New Roman"/>
        </w:rPr>
        <w:t>são comentados na Seção 2.</w:t>
      </w:r>
    </w:p>
  </w:footnote>
  <w:footnote w:id="7">
    <w:p w14:paraId="35639F24" w14:textId="77777777" w:rsidR="008E7CA4" w:rsidRPr="000600AB" w:rsidRDefault="008E7CA4" w:rsidP="00904EE7">
      <w:pPr>
        <w:pStyle w:val="NormalWeb"/>
        <w:spacing w:before="0" w:beforeAutospacing="0" w:after="0" w:afterAutospacing="0"/>
        <w:jc w:val="both"/>
        <w:rPr>
          <w:sz w:val="20"/>
          <w:szCs w:val="20"/>
        </w:rPr>
      </w:pPr>
      <w:r w:rsidRPr="000600AB">
        <w:rPr>
          <w:rStyle w:val="Refdenotaderodap"/>
          <w:sz w:val="20"/>
          <w:szCs w:val="20"/>
        </w:rPr>
        <w:footnoteRef/>
      </w:r>
      <w:r w:rsidRPr="000600AB">
        <w:rPr>
          <w:sz w:val="20"/>
          <w:szCs w:val="20"/>
        </w:rPr>
        <w:t xml:space="preserve"> Para maiores esclarecimentos a respeito dos testes ver Breusch and Pagan (1980), Greene (2008, p.208) e Baltagi (2001, p. 51-57)</w:t>
      </w:r>
      <w:r>
        <w:rPr>
          <w:sz w:val="20"/>
          <w:szCs w:val="20"/>
        </w:rPr>
        <w:t>.</w:t>
      </w:r>
    </w:p>
  </w:footnote>
  <w:footnote w:id="8">
    <w:p w14:paraId="1353E05C" w14:textId="33475D8D" w:rsidR="008E7CA4" w:rsidRPr="008A5315" w:rsidRDefault="008E7CA4">
      <w:pPr>
        <w:pStyle w:val="Textodenotaderodap"/>
        <w:rPr>
          <w:rFonts w:ascii="Times New Roman" w:hAnsi="Times New Roman" w:cs="Times New Roman"/>
        </w:rPr>
      </w:pPr>
      <w:r w:rsidRPr="008A5315">
        <w:rPr>
          <w:rStyle w:val="Refdenotaderodap"/>
          <w:rFonts w:ascii="Times New Roman" w:hAnsi="Times New Roman" w:cs="Times New Roman"/>
        </w:rPr>
        <w:footnoteRef/>
      </w:r>
      <w:r w:rsidRPr="008A5315">
        <w:rPr>
          <w:rFonts w:ascii="Times New Roman" w:hAnsi="Times New Roman" w:cs="Times New Roman"/>
        </w:rPr>
        <w:t xml:space="preserve"> Teste de Wooldridge com H0 = Ausência de Autocorrelação de Primeira Ordem (F(1, 424) =45,308) e Prob &gt; F=0,0000). Todas as estimações do estudo foram geradas por meio do programa estatístico e econométrico </w:t>
      </w:r>
      <w:r w:rsidRPr="008A5315">
        <w:rPr>
          <w:rFonts w:ascii="Times New Roman" w:hAnsi="Times New Roman" w:cs="Times New Roman"/>
          <w:i/>
          <w:iCs/>
        </w:rPr>
        <w:t xml:space="preserve">Stata </w:t>
      </w:r>
      <w:r w:rsidRPr="008A5315">
        <w:rPr>
          <w:rFonts w:ascii="Times New Roman" w:hAnsi="Times New Roman" w:cs="Times New Roman"/>
        </w:rPr>
        <w:t>14.</w:t>
      </w:r>
    </w:p>
  </w:footnote>
  <w:footnote w:id="9">
    <w:p w14:paraId="2E7AC328" w14:textId="77777777" w:rsidR="008E7CA4" w:rsidRPr="0071553F" w:rsidRDefault="008E7CA4" w:rsidP="00472D21">
      <w:pPr>
        <w:pStyle w:val="Textodenotaderodap"/>
        <w:jc w:val="both"/>
        <w:rPr>
          <w:rFonts w:ascii="Times New Roman" w:hAnsi="Times New Roman" w:cs="Times New Roman"/>
        </w:rPr>
      </w:pPr>
      <w:r w:rsidRPr="0071553F">
        <w:rPr>
          <w:rStyle w:val="Refdenotaderodap"/>
          <w:rFonts w:ascii="Times New Roman" w:hAnsi="Times New Roman" w:cs="Times New Roman"/>
        </w:rPr>
        <w:footnoteRef/>
      </w:r>
      <w:r w:rsidRPr="0071553F">
        <w:rPr>
          <w:rFonts w:ascii="Times New Roman" w:hAnsi="Times New Roman" w:cs="Times New Roman"/>
        </w:rPr>
        <w:t xml:space="preserve"> </w:t>
      </w:r>
      <w:r>
        <w:rPr>
          <w:rFonts w:ascii="Times New Roman" w:hAnsi="Times New Roman" w:cs="Times New Roman"/>
        </w:rPr>
        <w:t>O teste de Wald para heterocedasticidade em grupo rejeitou a hipótese nula de que a variância do erro é constante para todos os municípios (</w:t>
      </w:r>
      <w:r w:rsidRPr="002F4A1B">
        <w:rPr>
          <w:rFonts w:ascii="Times New Roman" w:hAnsi="Times New Roman" w:cs="Times New Roman"/>
        </w:rPr>
        <w:t>chi2 (1486)=4</w:t>
      </w:r>
      <w:r>
        <w:rPr>
          <w:rFonts w:ascii="Times New Roman" w:hAnsi="Times New Roman" w:cs="Times New Roman"/>
        </w:rPr>
        <w:t>,</w:t>
      </w:r>
      <w:r w:rsidRPr="002F4A1B">
        <w:rPr>
          <w:rFonts w:ascii="Times New Roman" w:hAnsi="Times New Roman" w:cs="Times New Roman"/>
        </w:rPr>
        <w:t>1e+30</w:t>
      </w:r>
      <w:r>
        <w:rPr>
          <w:rFonts w:ascii="Times New Roman" w:hAnsi="Times New Roman" w:cs="Times New Roman"/>
        </w:rPr>
        <w:t xml:space="preserve"> e </w:t>
      </w:r>
      <w:r w:rsidRPr="002F4A1B">
        <w:rPr>
          <w:rFonts w:ascii="Times New Roman" w:hAnsi="Times New Roman" w:cs="Times New Roman"/>
        </w:rPr>
        <w:t>Prob&gt;chi2=0</w:t>
      </w:r>
      <w:r>
        <w:rPr>
          <w:rFonts w:ascii="Times New Roman" w:hAnsi="Times New Roman" w:cs="Times New Roman"/>
        </w:rPr>
        <w:t>,</w:t>
      </w:r>
      <w:r w:rsidRPr="002F4A1B">
        <w:rPr>
          <w:rFonts w:ascii="Times New Roman" w:hAnsi="Times New Roman" w:cs="Times New Roman"/>
        </w:rPr>
        <w:t>0000</w:t>
      </w:r>
      <w:r>
        <w:rPr>
          <w:rFonts w:ascii="Times New Roman" w:hAnsi="Times New Roman" w:cs="Times New Roman"/>
        </w:rPr>
        <w:t xml:space="preserve">). Da mesma forma, o teste de </w:t>
      </w:r>
      <w:r w:rsidRPr="002F4A1B">
        <w:rPr>
          <w:rFonts w:ascii="Times New Roman" w:hAnsi="Times New Roman" w:cs="Times New Roman"/>
        </w:rPr>
        <w:t>Breusch-Pagan / Cook-Weisberg</w:t>
      </w:r>
      <w:r>
        <w:rPr>
          <w:rFonts w:ascii="Times New Roman" w:hAnsi="Times New Roman" w:cs="Times New Roman"/>
        </w:rPr>
        <w:t xml:space="preserve"> rejeita a hipótese nula de variância constante (</w:t>
      </w:r>
      <w:r w:rsidRPr="002F4A1B">
        <w:rPr>
          <w:rFonts w:ascii="Times New Roman" w:hAnsi="Times New Roman" w:cs="Times New Roman"/>
        </w:rPr>
        <w:t>chi2(1</w:t>
      </w:r>
      <w:r>
        <w:rPr>
          <w:rFonts w:ascii="Times New Roman" w:hAnsi="Times New Roman" w:cs="Times New Roman"/>
        </w:rPr>
        <w:t>)</w:t>
      </w:r>
      <w:r w:rsidRPr="002F4A1B">
        <w:rPr>
          <w:rFonts w:ascii="Times New Roman" w:hAnsi="Times New Roman" w:cs="Times New Roman"/>
        </w:rPr>
        <w:t>= 296</w:t>
      </w:r>
      <w:r>
        <w:rPr>
          <w:rFonts w:ascii="Times New Roman" w:hAnsi="Times New Roman" w:cs="Times New Roman"/>
        </w:rPr>
        <w:t>,</w:t>
      </w:r>
      <w:r w:rsidRPr="002F4A1B">
        <w:rPr>
          <w:rFonts w:ascii="Times New Roman" w:hAnsi="Times New Roman" w:cs="Times New Roman"/>
        </w:rPr>
        <w:t>18</w:t>
      </w:r>
      <w:r>
        <w:rPr>
          <w:rFonts w:ascii="Times New Roman" w:hAnsi="Times New Roman" w:cs="Times New Roman"/>
        </w:rPr>
        <w:t xml:space="preserve"> e </w:t>
      </w:r>
      <w:r w:rsidRPr="002F4A1B">
        <w:rPr>
          <w:rFonts w:ascii="Times New Roman" w:hAnsi="Times New Roman" w:cs="Times New Roman"/>
        </w:rPr>
        <w:t>Prob&gt;chi2=0</w:t>
      </w:r>
      <w:r>
        <w:rPr>
          <w:rFonts w:ascii="Times New Roman" w:hAnsi="Times New Roman" w:cs="Times New Roman"/>
        </w:rPr>
        <w:t>,</w:t>
      </w:r>
      <w:r w:rsidRPr="002F4A1B">
        <w:rPr>
          <w:rFonts w:ascii="Times New Roman" w:hAnsi="Times New Roman" w:cs="Times New Roman"/>
        </w:rPr>
        <w:t>0000</w:t>
      </w:r>
      <w:r>
        <w:rPr>
          <w:rFonts w:ascii="Times New Roman" w:hAnsi="Times New Roman" w:cs="Times New Roman"/>
        </w:rPr>
        <w:t xml:space="preserve">). Para o teste de autocorrelação serial em painel, dado pelo teste de </w:t>
      </w:r>
      <w:r w:rsidRPr="002F4A1B">
        <w:rPr>
          <w:rFonts w:ascii="Times New Roman" w:hAnsi="Times New Roman" w:cs="Times New Roman"/>
        </w:rPr>
        <w:t>Wooldridge</w:t>
      </w:r>
      <w:r>
        <w:rPr>
          <w:rFonts w:ascii="Times New Roman" w:hAnsi="Times New Roman" w:cs="Times New Roman"/>
        </w:rPr>
        <w:t>, rejeitou-se a hipótese nula de ausência de autocorrelação de primeira ordem (</w:t>
      </w:r>
      <w:r w:rsidRPr="002F4A1B">
        <w:rPr>
          <w:rFonts w:ascii="Times New Roman" w:hAnsi="Times New Roman" w:cs="Times New Roman"/>
        </w:rPr>
        <w:t>F(1,427)=36</w:t>
      </w:r>
      <w:r>
        <w:rPr>
          <w:rFonts w:ascii="Times New Roman" w:hAnsi="Times New Roman" w:cs="Times New Roman"/>
        </w:rPr>
        <w:t>,</w:t>
      </w:r>
      <w:r w:rsidRPr="002F4A1B">
        <w:rPr>
          <w:rFonts w:ascii="Times New Roman" w:hAnsi="Times New Roman" w:cs="Times New Roman"/>
        </w:rPr>
        <w:t>920</w:t>
      </w:r>
      <w:r>
        <w:rPr>
          <w:rFonts w:ascii="Times New Roman" w:hAnsi="Times New Roman" w:cs="Times New Roman"/>
        </w:rPr>
        <w:t xml:space="preserve"> e </w:t>
      </w:r>
      <w:r w:rsidRPr="002F4A1B">
        <w:rPr>
          <w:rFonts w:ascii="Times New Roman" w:hAnsi="Times New Roman" w:cs="Times New Roman"/>
        </w:rPr>
        <w:t>Prob&gt;F=0.0000</w:t>
      </w:r>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EA60EF"/>
    <w:multiLevelType w:val="multilevel"/>
    <w:tmpl w:val="084A79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3DD6C5A"/>
    <w:multiLevelType w:val="multilevel"/>
    <w:tmpl w:val="EE2211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FDD3DC6"/>
    <w:multiLevelType w:val="multilevel"/>
    <w:tmpl w:val="0FFC9D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D813C3"/>
    <w:multiLevelType w:val="multilevel"/>
    <w:tmpl w:val="AD60EDC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1BD7F8A"/>
    <w:multiLevelType w:val="hybridMultilevel"/>
    <w:tmpl w:val="C9404878"/>
    <w:lvl w:ilvl="0" w:tplc="1E761840">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15:restartNumberingAfterBreak="0">
    <w:nsid w:val="7B26444F"/>
    <w:multiLevelType w:val="hybridMultilevel"/>
    <w:tmpl w:val="1FF2FE7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AD4"/>
    <w:rsid w:val="00016270"/>
    <w:rsid w:val="0002090C"/>
    <w:rsid w:val="000271EB"/>
    <w:rsid w:val="000346B8"/>
    <w:rsid w:val="00040E07"/>
    <w:rsid w:val="0004391B"/>
    <w:rsid w:val="00044425"/>
    <w:rsid w:val="00046920"/>
    <w:rsid w:val="00046E4B"/>
    <w:rsid w:val="00054C85"/>
    <w:rsid w:val="0006133A"/>
    <w:rsid w:val="000635D1"/>
    <w:rsid w:val="00064E87"/>
    <w:rsid w:val="00071995"/>
    <w:rsid w:val="00072BC6"/>
    <w:rsid w:val="00073259"/>
    <w:rsid w:val="000768D2"/>
    <w:rsid w:val="0008156C"/>
    <w:rsid w:val="00082CAE"/>
    <w:rsid w:val="0008753D"/>
    <w:rsid w:val="0008790F"/>
    <w:rsid w:val="00091E9E"/>
    <w:rsid w:val="00092DFF"/>
    <w:rsid w:val="0009500A"/>
    <w:rsid w:val="000A1B6A"/>
    <w:rsid w:val="000A3F7F"/>
    <w:rsid w:val="000A41C3"/>
    <w:rsid w:val="000B0DFB"/>
    <w:rsid w:val="000B453E"/>
    <w:rsid w:val="000B4BAB"/>
    <w:rsid w:val="000C2FDC"/>
    <w:rsid w:val="000C4188"/>
    <w:rsid w:val="000C4454"/>
    <w:rsid w:val="000C51A6"/>
    <w:rsid w:val="000C73A1"/>
    <w:rsid w:val="000D7F34"/>
    <w:rsid w:val="000E3374"/>
    <w:rsid w:val="000E5686"/>
    <w:rsid w:val="000E58A7"/>
    <w:rsid w:val="000F117D"/>
    <w:rsid w:val="000F2160"/>
    <w:rsid w:val="000F69E5"/>
    <w:rsid w:val="0010199F"/>
    <w:rsid w:val="00102EB6"/>
    <w:rsid w:val="00103B62"/>
    <w:rsid w:val="001067BA"/>
    <w:rsid w:val="00110AA5"/>
    <w:rsid w:val="0011772D"/>
    <w:rsid w:val="00117C75"/>
    <w:rsid w:val="00120D1D"/>
    <w:rsid w:val="00123F59"/>
    <w:rsid w:val="00131CE8"/>
    <w:rsid w:val="00131E4F"/>
    <w:rsid w:val="00132476"/>
    <w:rsid w:val="00136350"/>
    <w:rsid w:val="001404E5"/>
    <w:rsid w:val="00142307"/>
    <w:rsid w:val="00151BBF"/>
    <w:rsid w:val="001527EC"/>
    <w:rsid w:val="00153924"/>
    <w:rsid w:val="00157382"/>
    <w:rsid w:val="0016574B"/>
    <w:rsid w:val="00170FA7"/>
    <w:rsid w:val="00172FE4"/>
    <w:rsid w:val="00173F36"/>
    <w:rsid w:val="00174140"/>
    <w:rsid w:val="00175901"/>
    <w:rsid w:val="00175A98"/>
    <w:rsid w:val="0017698A"/>
    <w:rsid w:val="001774C7"/>
    <w:rsid w:val="00184508"/>
    <w:rsid w:val="0018494C"/>
    <w:rsid w:val="00184979"/>
    <w:rsid w:val="001849FA"/>
    <w:rsid w:val="00185CBB"/>
    <w:rsid w:val="001861C0"/>
    <w:rsid w:val="001A23CE"/>
    <w:rsid w:val="001A43FF"/>
    <w:rsid w:val="001A60C5"/>
    <w:rsid w:val="001A642B"/>
    <w:rsid w:val="001A7108"/>
    <w:rsid w:val="001B0A23"/>
    <w:rsid w:val="001B25F2"/>
    <w:rsid w:val="001B637C"/>
    <w:rsid w:val="001C2A6F"/>
    <w:rsid w:val="001C52A8"/>
    <w:rsid w:val="001C617E"/>
    <w:rsid w:val="001C6AE0"/>
    <w:rsid w:val="001D17D7"/>
    <w:rsid w:val="001E07CF"/>
    <w:rsid w:val="001E7F27"/>
    <w:rsid w:val="001F1958"/>
    <w:rsid w:val="001F38DF"/>
    <w:rsid w:val="001F6712"/>
    <w:rsid w:val="002016A1"/>
    <w:rsid w:val="00214430"/>
    <w:rsid w:val="00224137"/>
    <w:rsid w:val="002317F7"/>
    <w:rsid w:val="0024197D"/>
    <w:rsid w:val="00242AEE"/>
    <w:rsid w:val="002450BE"/>
    <w:rsid w:val="00252BE8"/>
    <w:rsid w:val="002537B8"/>
    <w:rsid w:val="00255434"/>
    <w:rsid w:val="0025597A"/>
    <w:rsid w:val="00261547"/>
    <w:rsid w:val="00261A25"/>
    <w:rsid w:val="002648E4"/>
    <w:rsid w:val="00264A22"/>
    <w:rsid w:val="0026668F"/>
    <w:rsid w:val="00270329"/>
    <w:rsid w:val="002851FC"/>
    <w:rsid w:val="00286A88"/>
    <w:rsid w:val="0028712F"/>
    <w:rsid w:val="00297168"/>
    <w:rsid w:val="002A2C32"/>
    <w:rsid w:val="002B23A9"/>
    <w:rsid w:val="002B30C9"/>
    <w:rsid w:val="002C12CB"/>
    <w:rsid w:val="002C145A"/>
    <w:rsid w:val="002C1534"/>
    <w:rsid w:val="002C3118"/>
    <w:rsid w:val="002C376F"/>
    <w:rsid w:val="002C3A8A"/>
    <w:rsid w:val="002D0745"/>
    <w:rsid w:val="002D076C"/>
    <w:rsid w:val="002D166C"/>
    <w:rsid w:val="002D22FB"/>
    <w:rsid w:val="002D4DB1"/>
    <w:rsid w:val="002D5CD8"/>
    <w:rsid w:val="002E15A0"/>
    <w:rsid w:val="002E27CD"/>
    <w:rsid w:val="002E5821"/>
    <w:rsid w:val="002E6840"/>
    <w:rsid w:val="002F135C"/>
    <w:rsid w:val="002F4A1B"/>
    <w:rsid w:val="0030009D"/>
    <w:rsid w:val="003007BB"/>
    <w:rsid w:val="00302314"/>
    <w:rsid w:val="00302C0C"/>
    <w:rsid w:val="003046D1"/>
    <w:rsid w:val="00304C6B"/>
    <w:rsid w:val="00305B5D"/>
    <w:rsid w:val="003067CD"/>
    <w:rsid w:val="0030734E"/>
    <w:rsid w:val="00310A11"/>
    <w:rsid w:val="003148B7"/>
    <w:rsid w:val="00314B8F"/>
    <w:rsid w:val="00315D1D"/>
    <w:rsid w:val="003161B1"/>
    <w:rsid w:val="0032205C"/>
    <w:rsid w:val="00323E9B"/>
    <w:rsid w:val="00324B83"/>
    <w:rsid w:val="00333630"/>
    <w:rsid w:val="00341065"/>
    <w:rsid w:val="00341403"/>
    <w:rsid w:val="0034178C"/>
    <w:rsid w:val="00342681"/>
    <w:rsid w:val="00342DA8"/>
    <w:rsid w:val="00344C78"/>
    <w:rsid w:val="00346D98"/>
    <w:rsid w:val="00347B65"/>
    <w:rsid w:val="003504AD"/>
    <w:rsid w:val="00355FA5"/>
    <w:rsid w:val="0035797B"/>
    <w:rsid w:val="003647D3"/>
    <w:rsid w:val="00367CB6"/>
    <w:rsid w:val="003715E3"/>
    <w:rsid w:val="00383E19"/>
    <w:rsid w:val="003917B5"/>
    <w:rsid w:val="00392E71"/>
    <w:rsid w:val="00397A66"/>
    <w:rsid w:val="003A3ABD"/>
    <w:rsid w:val="003A51BF"/>
    <w:rsid w:val="003A5A19"/>
    <w:rsid w:val="003B5CF5"/>
    <w:rsid w:val="003C551A"/>
    <w:rsid w:val="003D03D7"/>
    <w:rsid w:val="003D1952"/>
    <w:rsid w:val="003D7A44"/>
    <w:rsid w:val="003E060E"/>
    <w:rsid w:val="003E0755"/>
    <w:rsid w:val="003E3BFF"/>
    <w:rsid w:val="003E4A50"/>
    <w:rsid w:val="003F60FF"/>
    <w:rsid w:val="004022F3"/>
    <w:rsid w:val="00405C8D"/>
    <w:rsid w:val="00410FD4"/>
    <w:rsid w:val="004117BA"/>
    <w:rsid w:val="00416DD6"/>
    <w:rsid w:val="00421C7B"/>
    <w:rsid w:val="0042368D"/>
    <w:rsid w:val="00424094"/>
    <w:rsid w:val="00424C6B"/>
    <w:rsid w:val="004253A1"/>
    <w:rsid w:val="00426614"/>
    <w:rsid w:val="00434463"/>
    <w:rsid w:val="004500B2"/>
    <w:rsid w:val="00450B7F"/>
    <w:rsid w:val="0045331A"/>
    <w:rsid w:val="00457089"/>
    <w:rsid w:val="00457441"/>
    <w:rsid w:val="00461E29"/>
    <w:rsid w:val="00465A7B"/>
    <w:rsid w:val="00467CF4"/>
    <w:rsid w:val="00470258"/>
    <w:rsid w:val="00470652"/>
    <w:rsid w:val="00472D21"/>
    <w:rsid w:val="00473F5C"/>
    <w:rsid w:val="00475D1B"/>
    <w:rsid w:val="00483DFD"/>
    <w:rsid w:val="00484222"/>
    <w:rsid w:val="00484A96"/>
    <w:rsid w:val="0048556F"/>
    <w:rsid w:val="00487B4B"/>
    <w:rsid w:val="00493C7A"/>
    <w:rsid w:val="004A06E8"/>
    <w:rsid w:val="004A126C"/>
    <w:rsid w:val="004A159A"/>
    <w:rsid w:val="004A2E20"/>
    <w:rsid w:val="004A347B"/>
    <w:rsid w:val="004A5356"/>
    <w:rsid w:val="004A7611"/>
    <w:rsid w:val="004B15BB"/>
    <w:rsid w:val="004B2AB8"/>
    <w:rsid w:val="004C02EF"/>
    <w:rsid w:val="004C14C2"/>
    <w:rsid w:val="004C62E4"/>
    <w:rsid w:val="004D3C61"/>
    <w:rsid w:val="004D408C"/>
    <w:rsid w:val="004E1D23"/>
    <w:rsid w:val="004E1F09"/>
    <w:rsid w:val="004E450D"/>
    <w:rsid w:val="004E501D"/>
    <w:rsid w:val="004E5045"/>
    <w:rsid w:val="004E70CF"/>
    <w:rsid w:val="004F1DC5"/>
    <w:rsid w:val="004F7487"/>
    <w:rsid w:val="00500347"/>
    <w:rsid w:val="00500520"/>
    <w:rsid w:val="00501A70"/>
    <w:rsid w:val="00503591"/>
    <w:rsid w:val="00504BB6"/>
    <w:rsid w:val="005128A0"/>
    <w:rsid w:val="00513A2C"/>
    <w:rsid w:val="0051574D"/>
    <w:rsid w:val="00517660"/>
    <w:rsid w:val="00517B37"/>
    <w:rsid w:val="00534A24"/>
    <w:rsid w:val="00534E6C"/>
    <w:rsid w:val="00535989"/>
    <w:rsid w:val="00535C42"/>
    <w:rsid w:val="005361A5"/>
    <w:rsid w:val="00542098"/>
    <w:rsid w:val="00544886"/>
    <w:rsid w:val="005457FF"/>
    <w:rsid w:val="0055499A"/>
    <w:rsid w:val="00555192"/>
    <w:rsid w:val="005626EE"/>
    <w:rsid w:val="00563AE9"/>
    <w:rsid w:val="00564E72"/>
    <w:rsid w:val="005665C7"/>
    <w:rsid w:val="0057100B"/>
    <w:rsid w:val="005715AD"/>
    <w:rsid w:val="005769BC"/>
    <w:rsid w:val="00577B75"/>
    <w:rsid w:val="005827F4"/>
    <w:rsid w:val="00583CB9"/>
    <w:rsid w:val="005864BF"/>
    <w:rsid w:val="00587DC2"/>
    <w:rsid w:val="00592EF8"/>
    <w:rsid w:val="005A7718"/>
    <w:rsid w:val="005B19C8"/>
    <w:rsid w:val="005B4738"/>
    <w:rsid w:val="005B5A2C"/>
    <w:rsid w:val="005B7225"/>
    <w:rsid w:val="005B75F1"/>
    <w:rsid w:val="005C094B"/>
    <w:rsid w:val="005C160C"/>
    <w:rsid w:val="005C2AFC"/>
    <w:rsid w:val="005D013D"/>
    <w:rsid w:val="005D05AF"/>
    <w:rsid w:val="005D09C2"/>
    <w:rsid w:val="005D3D1C"/>
    <w:rsid w:val="005D5CB1"/>
    <w:rsid w:val="005D6070"/>
    <w:rsid w:val="005D645E"/>
    <w:rsid w:val="005D72E3"/>
    <w:rsid w:val="005E4467"/>
    <w:rsid w:val="005E4DE1"/>
    <w:rsid w:val="005E77E4"/>
    <w:rsid w:val="005F1A19"/>
    <w:rsid w:val="005F2754"/>
    <w:rsid w:val="00600805"/>
    <w:rsid w:val="00600E76"/>
    <w:rsid w:val="00605137"/>
    <w:rsid w:val="0060793C"/>
    <w:rsid w:val="00626F45"/>
    <w:rsid w:val="00633197"/>
    <w:rsid w:val="00640886"/>
    <w:rsid w:val="00641982"/>
    <w:rsid w:val="00655390"/>
    <w:rsid w:val="0066201C"/>
    <w:rsid w:val="006640D6"/>
    <w:rsid w:val="0067074C"/>
    <w:rsid w:val="006771B0"/>
    <w:rsid w:val="006829EA"/>
    <w:rsid w:val="00682ABA"/>
    <w:rsid w:val="00684C18"/>
    <w:rsid w:val="00685E1A"/>
    <w:rsid w:val="00687ECF"/>
    <w:rsid w:val="00691205"/>
    <w:rsid w:val="00694585"/>
    <w:rsid w:val="006955A1"/>
    <w:rsid w:val="006977E0"/>
    <w:rsid w:val="00697BC8"/>
    <w:rsid w:val="006A0149"/>
    <w:rsid w:val="006A3869"/>
    <w:rsid w:val="006A4534"/>
    <w:rsid w:val="006B17D5"/>
    <w:rsid w:val="006B5DCC"/>
    <w:rsid w:val="006C09AA"/>
    <w:rsid w:val="006C1DB2"/>
    <w:rsid w:val="006C2C77"/>
    <w:rsid w:val="006C4AA9"/>
    <w:rsid w:val="006C7EB4"/>
    <w:rsid w:val="006D29B8"/>
    <w:rsid w:val="006D51C9"/>
    <w:rsid w:val="006D5BAE"/>
    <w:rsid w:val="006D6099"/>
    <w:rsid w:val="006E1088"/>
    <w:rsid w:val="006E6DE4"/>
    <w:rsid w:val="006E75D0"/>
    <w:rsid w:val="006F0AAB"/>
    <w:rsid w:val="006F1947"/>
    <w:rsid w:val="006F1E05"/>
    <w:rsid w:val="006F255F"/>
    <w:rsid w:val="006F287A"/>
    <w:rsid w:val="006F4B63"/>
    <w:rsid w:val="006F4E2E"/>
    <w:rsid w:val="006F6408"/>
    <w:rsid w:val="006F7D7A"/>
    <w:rsid w:val="00701D60"/>
    <w:rsid w:val="007121FD"/>
    <w:rsid w:val="0071416A"/>
    <w:rsid w:val="00714441"/>
    <w:rsid w:val="0071553F"/>
    <w:rsid w:val="00721A9B"/>
    <w:rsid w:val="00721F99"/>
    <w:rsid w:val="00723563"/>
    <w:rsid w:val="00724115"/>
    <w:rsid w:val="00724C98"/>
    <w:rsid w:val="0072728A"/>
    <w:rsid w:val="00733584"/>
    <w:rsid w:val="00734CA7"/>
    <w:rsid w:val="00741B58"/>
    <w:rsid w:val="00744B8D"/>
    <w:rsid w:val="00745CEC"/>
    <w:rsid w:val="0075051D"/>
    <w:rsid w:val="007514AD"/>
    <w:rsid w:val="00757303"/>
    <w:rsid w:val="007614E3"/>
    <w:rsid w:val="00764217"/>
    <w:rsid w:val="00764DC2"/>
    <w:rsid w:val="00767C74"/>
    <w:rsid w:val="00767C86"/>
    <w:rsid w:val="00773083"/>
    <w:rsid w:val="007730B3"/>
    <w:rsid w:val="007855C6"/>
    <w:rsid w:val="00792F56"/>
    <w:rsid w:val="007969C8"/>
    <w:rsid w:val="007A12F1"/>
    <w:rsid w:val="007A29F1"/>
    <w:rsid w:val="007A303F"/>
    <w:rsid w:val="007A6F7D"/>
    <w:rsid w:val="007B0AC7"/>
    <w:rsid w:val="007C07D0"/>
    <w:rsid w:val="007C2727"/>
    <w:rsid w:val="007C590C"/>
    <w:rsid w:val="007C6E27"/>
    <w:rsid w:val="007E009F"/>
    <w:rsid w:val="007E3C18"/>
    <w:rsid w:val="007E63D5"/>
    <w:rsid w:val="007F5B1A"/>
    <w:rsid w:val="00800BEC"/>
    <w:rsid w:val="00801A82"/>
    <w:rsid w:val="00801F86"/>
    <w:rsid w:val="00805180"/>
    <w:rsid w:val="00805F45"/>
    <w:rsid w:val="008071BA"/>
    <w:rsid w:val="00807A80"/>
    <w:rsid w:val="00810458"/>
    <w:rsid w:val="00814598"/>
    <w:rsid w:val="00815DE8"/>
    <w:rsid w:val="0082386E"/>
    <w:rsid w:val="008306C5"/>
    <w:rsid w:val="00833481"/>
    <w:rsid w:val="00837156"/>
    <w:rsid w:val="0084535E"/>
    <w:rsid w:val="00846596"/>
    <w:rsid w:val="008506A6"/>
    <w:rsid w:val="00851DE5"/>
    <w:rsid w:val="00855CCA"/>
    <w:rsid w:val="00862C4E"/>
    <w:rsid w:val="0086474F"/>
    <w:rsid w:val="00865D17"/>
    <w:rsid w:val="00875FDD"/>
    <w:rsid w:val="00876D88"/>
    <w:rsid w:val="008817D2"/>
    <w:rsid w:val="00881AA1"/>
    <w:rsid w:val="00881B12"/>
    <w:rsid w:val="00887E1E"/>
    <w:rsid w:val="00891BA4"/>
    <w:rsid w:val="00892B61"/>
    <w:rsid w:val="00894C8C"/>
    <w:rsid w:val="00895334"/>
    <w:rsid w:val="00896EA4"/>
    <w:rsid w:val="008A0B05"/>
    <w:rsid w:val="008A5315"/>
    <w:rsid w:val="008A7E65"/>
    <w:rsid w:val="008B23E6"/>
    <w:rsid w:val="008B2DF1"/>
    <w:rsid w:val="008B3A96"/>
    <w:rsid w:val="008B47DE"/>
    <w:rsid w:val="008B676F"/>
    <w:rsid w:val="008B766C"/>
    <w:rsid w:val="008C1075"/>
    <w:rsid w:val="008C18E0"/>
    <w:rsid w:val="008C25E0"/>
    <w:rsid w:val="008C2760"/>
    <w:rsid w:val="008C35F1"/>
    <w:rsid w:val="008C4A7E"/>
    <w:rsid w:val="008C5515"/>
    <w:rsid w:val="008E0733"/>
    <w:rsid w:val="008E0CE6"/>
    <w:rsid w:val="008E14B6"/>
    <w:rsid w:val="008E5656"/>
    <w:rsid w:val="008E5A5D"/>
    <w:rsid w:val="008E7523"/>
    <w:rsid w:val="008E7CA4"/>
    <w:rsid w:val="008F31C0"/>
    <w:rsid w:val="008F4C58"/>
    <w:rsid w:val="008F5B94"/>
    <w:rsid w:val="00902B22"/>
    <w:rsid w:val="00903678"/>
    <w:rsid w:val="009039EA"/>
    <w:rsid w:val="00904EE7"/>
    <w:rsid w:val="00911FEC"/>
    <w:rsid w:val="00914EBC"/>
    <w:rsid w:val="00916999"/>
    <w:rsid w:val="00920A15"/>
    <w:rsid w:val="009224DC"/>
    <w:rsid w:val="009227B8"/>
    <w:rsid w:val="00927F8A"/>
    <w:rsid w:val="00931FB9"/>
    <w:rsid w:val="0093391E"/>
    <w:rsid w:val="00934476"/>
    <w:rsid w:val="0093563C"/>
    <w:rsid w:val="009415BD"/>
    <w:rsid w:val="00942174"/>
    <w:rsid w:val="0094415D"/>
    <w:rsid w:val="00946982"/>
    <w:rsid w:val="00950AD8"/>
    <w:rsid w:val="00950C11"/>
    <w:rsid w:val="009547FD"/>
    <w:rsid w:val="0096094D"/>
    <w:rsid w:val="009613C9"/>
    <w:rsid w:val="009641D1"/>
    <w:rsid w:val="00966B43"/>
    <w:rsid w:val="00967106"/>
    <w:rsid w:val="0097000B"/>
    <w:rsid w:val="00970563"/>
    <w:rsid w:val="009706CB"/>
    <w:rsid w:val="0097363A"/>
    <w:rsid w:val="00973E6E"/>
    <w:rsid w:val="009740F0"/>
    <w:rsid w:val="00975241"/>
    <w:rsid w:val="00980D99"/>
    <w:rsid w:val="00983E71"/>
    <w:rsid w:val="00985503"/>
    <w:rsid w:val="00985B04"/>
    <w:rsid w:val="00987067"/>
    <w:rsid w:val="00987F75"/>
    <w:rsid w:val="0099122F"/>
    <w:rsid w:val="009913E2"/>
    <w:rsid w:val="00993CCC"/>
    <w:rsid w:val="009967E0"/>
    <w:rsid w:val="009A0A9F"/>
    <w:rsid w:val="009A3308"/>
    <w:rsid w:val="009B2E17"/>
    <w:rsid w:val="009B4606"/>
    <w:rsid w:val="009B6315"/>
    <w:rsid w:val="009C2DE2"/>
    <w:rsid w:val="009C4C0C"/>
    <w:rsid w:val="009D3A4D"/>
    <w:rsid w:val="009D4225"/>
    <w:rsid w:val="009E154A"/>
    <w:rsid w:val="009E7724"/>
    <w:rsid w:val="009F02C9"/>
    <w:rsid w:val="009F2384"/>
    <w:rsid w:val="009F5EF4"/>
    <w:rsid w:val="00A007B6"/>
    <w:rsid w:val="00A0686A"/>
    <w:rsid w:val="00A07EA4"/>
    <w:rsid w:val="00A11E57"/>
    <w:rsid w:val="00A14EAF"/>
    <w:rsid w:val="00A1780A"/>
    <w:rsid w:val="00A254BD"/>
    <w:rsid w:val="00A269DC"/>
    <w:rsid w:val="00A27F5C"/>
    <w:rsid w:val="00A3020E"/>
    <w:rsid w:val="00A30245"/>
    <w:rsid w:val="00A3041F"/>
    <w:rsid w:val="00A31E80"/>
    <w:rsid w:val="00A323A1"/>
    <w:rsid w:val="00A32E02"/>
    <w:rsid w:val="00A33DA8"/>
    <w:rsid w:val="00A42CE2"/>
    <w:rsid w:val="00A642C8"/>
    <w:rsid w:val="00A64893"/>
    <w:rsid w:val="00A64C43"/>
    <w:rsid w:val="00A64E1A"/>
    <w:rsid w:val="00A6647A"/>
    <w:rsid w:val="00A66940"/>
    <w:rsid w:val="00A72FD2"/>
    <w:rsid w:val="00A773CA"/>
    <w:rsid w:val="00A85228"/>
    <w:rsid w:val="00A87262"/>
    <w:rsid w:val="00A919CD"/>
    <w:rsid w:val="00A91FC3"/>
    <w:rsid w:val="00AA083C"/>
    <w:rsid w:val="00AA57DC"/>
    <w:rsid w:val="00AA6664"/>
    <w:rsid w:val="00AA6E91"/>
    <w:rsid w:val="00AB0506"/>
    <w:rsid w:val="00AB0C39"/>
    <w:rsid w:val="00AB18D7"/>
    <w:rsid w:val="00AB3378"/>
    <w:rsid w:val="00AB6C84"/>
    <w:rsid w:val="00AC2F2E"/>
    <w:rsid w:val="00AC406E"/>
    <w:rsid w:val="00AC48E0"/>
    <w:rsid w:val="00AC6812"/>
    <w:rsid w:val="00AD10E0"/>
    <w:rsid w:val="00AD4333"/>
    <w:rsid w:val="00AD7FE2"/>
    <w:rsid w:val="00AE22D5"/>
    <w:rsid w:val="00AE3291"/>
    <w:rsid w:val="00AF2894"/>
    <w:rsid w:val="00B03F10"/>
    <w:rsid w:val="00B04EB6"/>
    <w:rsid w:val="00B05BB4"/>
    <w:rsid w:val="00B075E2"/>
    <w:rsid w:val="00B07B71"/>
    <w:rsid w:val="00B103D4"/>
    <w:rsid w:val="00B1095D"/>
    <w:rsid w:val="00B12ADC"/>
    <w:rsid w:val="00B15EFD"/>
    <w:rsid w:val="00B21E79"/>
    <w:rsid w:val="00B33C10"/>
    <w:rsid w:val="00B3438E"/>
    <w:rsid w:val="00B3496A"/>
    <w:rsid w:val="00B35DFE"/>
    <w:rsid w:val="00B46313"/>
    <w:rsid w:val="00B4754C"/>
    <w:rsid w:val="00B51D75"/>
    <w:rsid w:val="00B51E67"/>
    <w:rsid w:val="00B52F26"/>
    <w:rsid w:val="00B61D31"/>
    <w:rsid w:val="00B64473"/>
    <w:rsid w:val="00B71296"/>
    <w:rsid w:val="00B73453"/>
    <w:rsid w:val="00B7386F"/>
    <w:rsid w:val="00B742FE"/>
    <w:rsid w:val="00B76415"/>
    <w:rsid w:val="00B87EDE"/>
    <w:rsid w:val="00B960A3"/>
    <w:rsid w:val="00BA31F3"/>
    <w:rsid w:val="00BA48E8"/>
    <w:rsid w:val="00BA70C9"/>
    <w:rsid w:val="00BB073C"/>
    <w:rsid w:val="00BB0B44"/>
    <w:rsid w:val="00BB34B6"/>
    <w:rsid w:val="00BB5723"/>
    <w:rsid w:val="00BB5E0D"/>
    <w:rsid w:val="00BC3AD0"/>
    <w:rsid w:val="00BC57D1"/>
    <w:rsid w:val="00BC6DDB"/>
    <w:rsid w:val="00BC71A5"/>
    <w:rsid w:val="00BD7079"/>
    <w:rsid w:val="00BE739C"/>
    <w:rsid w:val="00BF05D3"/>
    <w:rsid w:val="00BF5BBE"/>
    <w:rsid w:val="00C03B1F"/>
    <w:rsid w:val="00C0551D"/>
    <w:rsid w:val="00C05D66"/>
    <w:rsid w:val="00C0633B"/>
    <w:rsid w:val="00C13919"/>
    <w:rsid w:val="00C15982"/>
    <w:rsid w:val="00C16ABA"/>
    <w:rsid w:val="00C17307"/>
    <w:rsid w:val="00C20B49"/>
    <w:rsid w:val="00C218C8"/>
    <w:rsid w:val="00C232E6"/>
    <w:rsid w:val="00C27487"/>
    <w:rsid w:val="00C31812"/>
    <w:rsid w:val="00C36DBB"/>
    <w:rsid w:val="00C37197"/>
    <w:rsid w:val="00C4189E"/>
    <w:rsid w:val="00C42FE8"/>
    <w:rsid w:val="00C558C8"/>
    <w:rsid w:val="00C5662B"/>
    <w:rsid w:val="00C60FCF"/>
    <w:rsid w:val="00C64CEA"/>
    <w:rsid w:val="00C64DC4"/>
    <w:rsid w:val="00C65655"/>
    <w:rsid w:val="00C659BF"/>
    <w:rsid w:val="00C66E78"/>
    <w:rsid w:val="00C6740F"/>
    <w:rsid w:val="00C71298"/>
    <w:rsid w:val="00C7325D"/>
    <w:rsid w:val="00C7376C"/>
    <w:rsid w:val="00C756C3"/>
    <w:rsid w:val="00C76094"/>
    <w:rsid w:val="00C80FEE"/>
    <w:rsid w:val="00C81AD4"/>
    <w:rsid w:val="00C92CCF"/>
    <w:rsid w:val="00C961B3"/>
    <w:rsid w:val="00C97379"/>
    <w:rsid w:val="00CA0D5F"/>
    <w:rsid w:val="00CA1578"/>
    <w:rsid w:val="00CA3167"/>
    <w:rsid w:val="00CA35C9"/>
    <w:rsid w:val="00CB12AC"/>
    <w:rsid w:val="00CB1A8F"/>
    <w:rsid w:val="00CB2C23"/>
    <w:rsid w:val="00CB7453"/>
    <w:rsid w:val="00CC2814"/>
    <w:rsid w:val="00CD0A27"/>
    <w:rsid w:val="00CD5934"/>
    <w:rsid w:val="00CD683B"/>
    <w:rsid w:val="00CD74DC"/>
    <w:rsid w:val="00CE00FA"/>
    <w:rsid w:val="00CE220C"/>
    <w:rsid w:val="00CE76BD"/>
    <w:rsid w:val="00CF7605"/>
    <w:rsid w:val="00D018B3"/>
    <w:rsid w:val="00D03CFC"/>
    <w:rsid w:val="00D05D2D"/>
    <w:rsid w:val="00D13444"/>
    <w:rsid w:val="00D17B26"/>
    <w:rsid w:val="00D34074"/>
    <w:rsid w:val="00D36BC4"/>
    <w:rsid w:val="00D36DFA"/>
    <w:rsid w:val="00D3760D"/>
    <w:rsid w:val="00D45E66"/>
    <w:rsid w:val="00D466D2"/>
    <w:rsid w:val="00D52A5E"/>
    <w:rsid w:val="00D52FAD"/>
    <w:rsid w:val="00D55B8A"/>
    <w:rsid w:val="00D62E70"/>
    <w:rsid w:val="00D65271"/>
    <w:rsid w:val="00D67CD3"/>
    <w:rsid w:val="00D67F07"/>
    <w:rsid w:val="00D7271E"/>
    <w:rsid w:val="00D82768"/>
    <w:rsid w:val="00D84571"/>
    <w:rsid w:val="00D8593E"/>
    <w:rsid w:val="00D91E2F"/>
    <w:rsid w:val="00D936BA"/>
    <w:rsid w:val="00DA011B"/>
    <w:rsid w:val="00DA3C34"/>
    <w:rsid w:val="00DB0A5D"/>
    <w:rsid w:val="00DB3F11"/>
    <w:rsid w:val="00DB640A"/>
    <w:rsid w:val="00DB78C1"/>
    <w:rsid w:val="00DC2FC8"/>
    <w:rsid w:val="00DC414E"/>
    <w:rsid w:val="00DC4CD6"/>
    <w:rsid w:val="00DC54B7"/>
    <w:rsid w:val="00DC5AE8"/>
    <w:rsid w:val="00DD1DF5"/>
    <w:rsid w:val="00DD3964"/>
    <w:rsid w:val="00DE0222"/>
    <w:rsid w:val="00DE05AC"/>
    <w:rsid w:val="00DE117E"/>
    <w:rsid w:val="00DE4835"/>
    <w:rsid w:val="00DE52F8"/>
    <w:rsid w:val="00E031F9"/>
    <w:rsid w:val="00E047B2"/>
    <w:rsid w:val="00E1032C"/>
    <w:rsid w:val="00E126A8"/>
    <w:rsid w:val="00E131AF"/>
    <w:rsid w:val="00E1774A"/>
    <w:rsid w:val="00E20D4D"/>
    <w:rsid w:val="00E21573"/>
    <w:rsid w:val="00E260B5"/>
    <w:rsid w:val="00E41324"/>
    <w:rsid w:val="00E44F4B"/>
    <w:rsid w:val="00E5185F"/>
    <w:rsid w:val="00E52CCB"/>
    <w:rsid w:val="00E610FF"/>
    <w:rsid w:val="00E61775"/>
    <w:rsid w:val="00E61CB9"/>
    <w:rsid w:val="00E67A87"/>
    <w:rsid w:val="00E75266"/>
    <w:rsid w:val="00E763B5"/>
    <w:rsid w:val="00E80C45"/>
    <w:rsid w:val="00E8169C"/>
    <w:rsid w:val="00E93EE5"/>
    <w:rsid w:val="00E942C0"/>
    <w:rsid w:val="00E95C86"/>
    <w:rsid w:val="00E971E0"/>
    <w:rsid w:val="00EA1772"/>
    <w:rsid w:val="00EA1FBA"/>
    <w:rsid w:val="00EB00F2"/>
    <w:rsid w:val="00EB0589"/>
    <w:rsid w:val="00EB0879"/>
    <w:rsid w:val="00EB0936"/>
    <w:rsid w:val="00EB2627"/>
    <w:rsid w:val="00EC0225"/>
    <w:rsid w:val="00EC12E4"/>
    <w:rsid w:val="00EC13FE"/>
    <w:rsid w:val="00EC2C15"/>
    <w:rsid w:val="00EC5637"/>
    <w:rsid w:val="00ED0120"/>
    <w:rsid w:val="00ED046A"/>
    <w:rsid w:val="00ED1629"/>
    <w:rsid w:val="00ED337B"/>
    <w:rsid w:val="00ED4BF5"/>
    <w:rsid w:val="00ED5725"/>
    <w:rsid w:val="00EE1002"/>
    <w:rsid w:val="00EE1FDB"/>
    <w:rsid w:val="00EE443D"/>
    <w:rsid w:val="00EF5110"/>
    <w:rsid w:val="00F0523E"/>
    <w:rsid w:val="00F06EFB"/>
    <w:rsid w:val="00F10FF0"/>
    <w:rsid w:val="00F1101D"/>
    <w:rsid w:val="00F12ED6"/>
    <w:rsid w:val="00F1747C"/>
    <w:rsid w:val="00F2089A"/>
    <w:rsid w:val="00F217ED"/>
    <w:rsid w:val="00F32ADA"/>
    <w:rsid w:val="00F357C4"/>
    <w:rsid w:val="00F41119"/>
    <w:rsid w:val="00F436D7"/>
    <w:rsid w:val="00F4381E"/>
    <w:rsid w:val="00F45090"/>
    <w:rsid w:val="00F47408"/>
    <w:rsid w:val="00F514B6"/>
    <w:rsid w:val="00F563BD"/>
    <w:rsid w:val="00F56EFE"/>
    <w:rsid w:val="00F6153F"/>
    <w:rsid w:val="00F61A7F"/>
    <w:rsid w:val="00F6248B"/>
    <w:rsid w:val="00F64DB7"/>
    <w:rsid w:val="00F659D8"/>
    <w:rsid w:val="00F6618F"/>
    <w:rsid w:val="00F668A0"/>
    <w:rsid w:val="00F71B5A"/>
    <w:rsid w:val="00F73C39"/>
    <w:rsid w:val="00F82A9F"/>
    <w:rsid w:val="00F82EA4"/>
    <w:rsid w:val="00F861A5"/>
    <w:rsid w:val="00F96B55"/>
    <w:rsid w:val="00FA0913"/>
    <w:rsid w:val="00FA3FDC"/>
    <w:rsid w:val="00FA529C"/>
    <w:rsid w:val="00FB4EDC"/>
    <w:rsid w:val="00FB666F"/>
    <w:rsid w:val="00FC4545"/>
    <w:rsid w:val="00FC5384"/>
    <w:rsid w:val="00FC594F"/>
    <w:rsid w:val="00FC68AA"/>
    <w:rsid w:val="00FC7166"/>
    <w:rsid w:val="00FD29CF"/>
    <w:rsid w:val="00FD4DD0"/>
    <w:rsid w:val="00FD5B32"/>
    <w:rsid w:val="00FD5B34"/>
    <w:rsid w:val="00FE25FA"/>
    <w:rsid w:val="00FE311D"/>
    <w:rsid w:val="00FE755E"/>
    <w:rsid w:val="00FF52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7D820"/>
  <w15:chartTrackingRefBased/>
  <w15:docId w15:val="{44CA43DA-4B12-42BC-9E51-7BF03A4F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EC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F60F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3F60F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6668F"/>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26668F"/>
    <w:rPr>
      <w:sz w:val="20"/>
      <w:szCs w:val="20"/>
    </w:rPr>
  </w:style>
  <w:style w:type="character" w:styleId="Refdenotaderodap">
    <w:name w:val="footnote reference"/>
    <w:basedOn w:val="Fontepargpadro"/>
    <w:uiPriority w:val="99"/>
    <w:semiHidden/>
    <w:unhideWhenUsed/>
    <w:rsid w:val="0026668F"/>
    <w:rPr>
      <w:vertAlign w:val="superscript"/>
    </w:rPr>
  </w:style>
  <w:style w:type="character" w:styleId="nfase">
    <w:name w:val="Emphasis"/>
    <w:basedOn w:val="Fontepargpadro"/>
    <w:uiPriority w:val="20"/>
    <w:qFormat/>
    <w:rsid w:val="009B6315"/>
    <w:rPr>
      <w:i/>
      <w:iCs/>
    </w:rPr>
  </w:style>
  <w:style w:type="paragraph" w:styleId="PargrafodaLista">
    <w:name w:val="List Paragraph"/>
    <w:basedOn w:val="Normal"/>
    <w:uiPriority w:val="34"/>
    <w:qFormat/>
    <w:rsid w:val="00626F45"/>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MTDisplayEquation">
    <w:name w:val="MTDisplayEquation"/>
    <w:basedOn w:val="Normal"/>
    <w:next w:val="Normal"/>
    <w:link w:val="MTDisplayEquationChar"/>
    <w:rsid w:val="009D4225"/>
    <w:pPr>
      <w:tabs>
        <w:tab w:val="center" w:pos="4240"/>
        <w:tab w:val="right" w:pos="8500"/>
      </w:tabs>
      <w:spacing w:after="160" w:line="360" w:lineRule="auto"/>
      <w:jc w:val="both"/>
    </w:pPr>
    <w:rPr>
      <w:rFonts w:eastAsiaTheme="minorHAnsi"/>
      <w:b/>
      <w:szCs w:val="22"/>
      <w:lang w:eastAsia="en-US"/>
    </w:rPr>
  </w:style>
  <w:style w:type="character" w:customStyle="1" w:styleId="MTDisplayEquationChar">
    <w:name w:val="MTDisplayEquation Char"/>
    <w:basedOn w:val="Fontepargpadro"/>
    <w:link w:val="MTDisplayEquation"/>
    <w:rsid w:val="009D4225"/>
    <w:rPr>
      <w:rFonts w:ascii="Times New Roman" w:hAnsi="Times New Roman" w:cs="Times New Roman"/>
      <w:b/>
      <w:sz w:val="24"/>
    </w:rPr>
  </w:style>
  <w:style w:type="character" w:styleId="Hyperlink">
    <w:name w:val="Hyperlink"/>
    <w:basedOn w:val="Fontepargpadro"/>
    <w:uiPriority w:val="99"/>
    <w:unhideWhenUsed/>
    <w:rsid w:val="00773083"/>
    <w:rPr>
      <w:color w:val="0563C1" w:themeColor="hyperlink"/>
      <w:u w:val="single"/>
    </w:rPr>
  </w:style>
  <w:style w:type="paragraph" w:styleId="Cabealho">
    <w:name w:val="header"/>
    <w:basedOn w:val="Normal"/>
    <w:link w:val="CabealhoChar"/>
    <w:uiPriority w:val="99"/>
    <w:unhideWhenUsed/>
    <w:rsid w:val="009740F0"/>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740F0"/>
  </w:style>
  <w:style w:type="paragraph" w:styleId="Rodap">
    <w:name w:val="footer"/>
    <w:basedOn w:val="Normal"/>
    <w:link w:val="RodapChar"/>
    <w:uiPriority w:val="99"/>
    <w:unhideWhenUsed/>
    <w:rsid w:val="009740F0"/>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740F0"/>
  </w:style>
  <w:style w:type="paragraph" w:customStyle="1" w:styleId="Corpodetexto21">
    <w:name w:val="Corpo de texto 21"/>
    <w:basedOn w:val="Normal"/>
    <w:rsid w:val="00EC12E4"/>
    <w:pPr>
      <w:widowControl w:val="0"/>
      <w:suppressAutoHyphens/>
      <w:jc w:val="both"/>
    </w:pPr>
    <w:rPr>
      <w:sz w:val="28"/>
      <w:szCs w:val="20"/>
      <w:lang w:eastAsia="zh-CN"/>
    </w:rPr>
  </w:style>
  <w:style w:type="paragraph" w:styleId="NormalWeb">
    <w:name w:val="Normal (Web)"/>
    <w:basedOn w:val="Normal"/>
    <w:uiPriority w:val="99"/>
    <w:unhideWhenUsed/>
    <w:rsid w:val="00EC12E4"/>
    <w:pPr>
      <w:spacing w:before="100" w:beforeAutospacing="1" w:after="100" w:afterAutospacing="1"/>
    </w:pPr>
  </w:style>
  <w:style w:type="character" w:customStyle="1" w:styleId="apple-converted-space">
    <w:name w:val="apple-converted-space"/>
    <w:basedOn w:val="Fontepargpadro"/>
    <w:rsid w:val="00EC12E4"/>
  </w:style>
  <w:style w:type="paragraph" w:customStyle="1" w:styleId="WW-Padro">
    <w:name w:val="WW-Padrão"/>
    <w:rsid w:val="006E75D0"/>
    <w:pPr>
      <w:tabs>
        <w:tab w:val="left" w:pos="709"/>
      </w:tabs>
      <w:suppressAutoHyphens/>
      <w:spacing w:after="200" w:line="276" w:lineRule="auto"/>
    </w:pPr>
    <w:rPr>
      <w:rFonts w:ascii="Arial" w:eastAsia="Times New Roman" w:hAnsi="Arial" w:cs="Arial"/>
      <w:color w:val="00000A"/>
      <w:sz w:val="20"/>
      <w:szCs w:val="20"/>
      <w:lang w:eastAsia="zh-CN"/>
    </w:rPr>
  </w:style>
  <w:style w:type="table" w:styleId="Tabelacomgrade">
    <w:name w:val="Table Grid"/>
    <w:basedOn w:val="Tabelanormal"/>
    <w:uiPriority w:val="39"/>
    <w:rsid w:val="006E75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E67A87"/>
    <w:rPr>
      <w:color w:val="605E5C"/>
      <w:shd w:val="clear" w:color="auto" w:fill="E1DFDD"/>
    </w:rPr>
  </w:style>
  <w:style w:type="character" w:styleId="Forte">
    <w:name w:val="Strong"/>
    <w:basedOn w:val="Fontepargpadro"/>
    <w:uiPriority w:val="22"/>
    <w:qFormat/>
    <w:rsid w:val="00AC6812"/>
    <w:rPr>
      <w:b/>
      <w:bCs/>
    </w:rPr>
  </w:style>
  <w:style w:type="paragraph" w:customStyle="1" w:styleId="texto-inicial">
    <w:name w:val="texto-inicial"/>
    <w:basedOn w:val="Normal"/>
    <w:rsid w:val="00AC6812"/>
    <w:pPr>
      <w:spacing w:before="100" w:beforeAutospacing="1" w:after="100" w:afterAutospacing="1"/>
    </w:pPr>
  </w:style>
  <w:style w:type="character" w:customStyle="1" w:styleId="textcolor2">
    <w:name w:val="textcolor2"/>
    <w:basedOn w:val="Fontepargpadro"/>
    <w:rsid w:val="00AC6812"/>
  </w:style>
  <w:style w:type="character" w:styleId="HiperlinkVisitado">
    <w:name w:val="FollowedHyperlink"/>
    <w:basedOn w:val="Fontepargpadro"/>
    <w:uiPriority w:val="99"/>
    <w:semiHidden/>
    <w:unhideWhenUsed/>
    <w:rsid w:val="004E501D"/>
    <w:rPr>
      <w:color w:val="954F72" w:themeColor="followedHyperlink"/>
      <w:u w:val="single"/>
    </w:rPr>
  </w:style>
  <w:style w:type="character" w:styleId="Refdecomentrio">
    <w:name w:val="annotation reference"/>
    <w:basedOn w:val="Fontepargpadro"/>
    <w:uiPriority w:val="99"/>
    <w:semiHidden/>
    <w:unhideWhenUsed/>
    <w:rsid w:val="009C4C0C"/>
    <w:rPr>
      <w:sz w:val="16"/>
      <w:szCs w:val="16"/>
    </w:rPr>
  </w:style>
  <w:style w:type="paragraph" w:styleId="Textodecomentrio">
    <w:name w:val="annotation text"/>
    <w:basedOn w:val="Normal"/>
    <w:link w:val="TextodecomentrioChar"/>
    <w:uiPriority w:val="99"/>
    <w:unhideWhenUsed/>
    <w:rsid w:val="009C4C0C"/>
    <w:pPr>
      <w:spacing w:after="16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rsid w:val="009C4C0C"/>
    <w:rPr>
      <w:sz w:val="20"/>
      <w:szCs w:val="20"/>
    </w:rPr>
  </w:style>
  <w:style w:type="paragraph" w:styleId="Assuntodocomentrio">
    <w:name w:val="annotation subject"/>
    <w:basedOn w:val="Textodecomentrio"/>
    <w:next w:val="Textodecomentrio"/>
    <w:link w:val="AssuntodocomentrioChar"/>
    <w:uiPriority w:val="99"/>
    <w:semiHidden/>
    <w:unhideWhenUsed/>
    <w:rsid w:val="009C4C0C"/>
    <w:rPr>
      <w:b/>
      <w:bCs/>
    </w:rPr>
  </w:style>
  <w:style w:type="character" w:customStyle="1" w:styleId="AssuntodocomentrioChar">
    <w:name w:val="Assunto do comentário Char"/>
    <w:basedOn w:val="TextodecomentrioChar"/>
    <w:link w:val="Assuntodocomentrio"/>
    <w:uiPriority w:val="99"/>
    <w:semiHidden/>
    <w:rsid w:val="009C4C0C"/>
    <w:rPr>
      <w:b/>
      <w:bCs/>
      <w:sz w:val="20"/>
      <w:szCs w:val="20"/>
    </w:rPr>
  </w:style>
  <w:style w:type="paragraph" w:styleId="Textodebalo">
    <w:name w:val="Balloon Text"/>
    <w:basedOn w:val="Normal"/>
    <w:link w:val="TextodebaloChar"/>
    <w:uiPriority w:val="99"/>
    <w:semiHidden/>
    <w:unhideWhenUsed/>
    <w:rsid w:val="009C4C0C"/>
    <w:rPr>
      <w:rFonts w:eastAsiaTheme="minorHAnsi"/>
      <w:sz w:val="18"/>
      <w:szCs w:val="18"/>
      <w:lang w:eastAsia="en-US"/>
    </w:rPr>
  </w:style>
  <w:style w:type="character" w:customStyle="1" w:styleId="TextodebaloChar">
    <w:name w:val="Texto de balão Char"/>
    <w:basedOn w:val="Fontepargpadro"/>
    <w:link w:val="Textodebalo"/>
    <w:uiPriority w:val="99"/>
    <w:semiHidden/>
    <w:rsid w:val="009C4C0C"/>
    <w:rPr>
      <w:rFonts w:ascii="Times New Roman" w:hAnsi="Times New Roman" w:cs="Times New Roman"/>
      <w:sz w:val="18"/>
      <w:szCs w:val="18"/>
    </w:rPr>
  </w:style>
  <w:style w:type="paragraph" w:styleId="Reviso">
    <w:name w:val="Revision"/>
    <w:hidden/>
    <w:uiPriority w:val="99"/>
    <w:semiHidden/>
    <w:rsid w:val="009C4C0C"/>
    <w:pPr>
      <w:spacing w:after="0" w:line="240" w:lineRule="auto"/>
    </w:pPr>
  </w:style>
  <w:style w:type="paragraph" w:styleId="Corpodetexto">
    <w:name w:val="Body Text"/>
    <w:basedOn w:val="Normal"/>
    <w:link w:val="CorpodetextoChar"/>
    <w:uiPriority w:val="1"/>
    <w:qFormat/>
    <w:rsid w:val="00450B7F"/>
    <w:pPr>
      <w:widowControl w:val="0"/>
      <w:autoSpaceDE w:val="0"/>
      <w:autoSpaceDN w:val="0"/>
    </w:pPr>
    <w:rPr>
      <w:lang w:bidi="pt-BR"/>
    </w:rPr>
  </w:style>
  <w:style w:type="character" w:customStyle="1" w:styleId="CorpodetextoChar">
    <w:name w:val="Corpo de texto Char"/>
    <w:basedOn w:val="Fontepargpadro"/>
    <w:link w:val="Corpodetexto"/>
    <w:uiPriority w:val="1"/>
    <w:rsid w:val="00450B7F"/>
    <w:rPr>
      <w:rFonts w:ascii="Times New Roman" w:eastAsia="Times New Roman" w:hAnsi="Times New Roman" w:cs="Times New Roman"/>
      <w:sz w:val="24"/>
      <w:szCs w:val="24"/>
      <w:lang w:eastAsia="pt-BR" w:bidi="pt-BR"/>
    </w:rPr>
  </w:style>
  <w:style w:type="character" w:styleId="TextodoEspaoReservado">
    <w:name w:val="Placeholder Text"/>
    <w:basedOn w:val="Fontepargpadro"/>
    <w:uiPriority w:val="99"/>
    <w:semiHidden/>
    <w:rsid w:val="00555192"/>
    <w:rPr>
      <w:color w:val="808080"/>
    </w:rPr>
  </w:style>
  <w:style w:type="character" w:customStyle="1" w:styleId="Ttulo2Char">
    <w:name w:val="Título 2 Char"/>
    <w:basedOn w:val="Fontepargpadro"/>
    <w:link w:val="Ttulo2"/>
    <w:uiPriority w:val="9"/>
    <w:semiHidden/>
    <w:rsid w:val="003F60FF"/>
    <w:rPr>
      <w:rFonts w:asciiTheme="majorHAnsi" w:eastAsiaTheme="majorEastAsia" w:hAnsiTheme="majorHAnsi" w:cstheme="majorBidi"/>
      <w:color w:val="2E74B5" w:themeColor="accent1" w:themeShade="BF"/>
      <w:sz w:val="26"/>
      <w:szCs w:val="26"/>
      <w:lang w:eastAsia="pt-BR"/>
    </w:rPr>
  </w:style>
  <w:style w:type="character" w:customStyle="1" w:styleId="Ttulo1Char">
    <w:name w:val="Título 1 Char"/>
    <w:basedOn w:val="Fontepargpadro"/>
    <w:link w:val="Ttulo1"/>
    <w:uiPriority w:val="9"/>
    <w:rsid w:val="003F60FF"/>
    <w:rPr>
      <w:rFonts w:asciiTheme="majorHAnsi" w:eastAsiaTheme="majorEastAsia" w:hAnsiTheme="majorHAnsi" w:cstheme="majorBidi"/>
      <w:color w:val="2E74B5"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925642">
      <w:bodyDiv w:val="1"/>
      <w:marLeft w:val="0"/>
      <w:marRight w:val="0"/>
      <w:marTop w:val="0"/>
      <w:marBottom w:val="0"/>
      <w:divBdr>
        <w:top w:val="none" w:sz="0" w:space="0" w:color="auto"/>
        <w:left w:val="none" w:sz="0" w:space="0" w:color="auto"/>
        <w:bottom w:val="none" w:sz="0" w:space="0" w:color="auto"/>
        <w:right w:val="none" w:sz="0" w:space="0" w:color="auto"/>
      </w:divBdr>
    </w:div>
    <w:div w:id="172261040">
      <w:bodyDiv w:val="1"/>
      <w:marLeft w:val="0"/>
      <w:marRight w:val="0"/>
      <w:marTop w:val="0"/>
      <w:marBottom w:val="0"/>
      <w:divBdr>
        <w:top w:val="none" w:sz="0" w:space="0" w:color="auto"/>
        <w:left w:val="none" w:sz="0" w:space="0" w:color="auto"/>
        <w:bottom w:val="none" w:sz="0" w:space="0" w:color="auto"/>
        <w:right w:val="none" w:sz="0" w:space="0" w:color="auto"/>
      </w:divBdr>
    </w:div>
    <w:div w:id="256863088">
      <w:bodyDiv w:val="1"/>
      <w:marLeft w:val="0"/>
      <w:marRight w:val="0"/>
      <w:marTop w:val="0"/>
      <w:marBottom w:val="0"/>
      <w:divBdr>
        <w:top w:val="none" w:sz="0" w:space="0" w:color="auto"/>
        <w:left w:val="none" w:sz="0" w:space="0" w:color="auto"/>
        <w:bottom w:val="none" w:sz="0" w:space="0" w:color="auto"/>
        <w:right w:val="none" w:sz="0" w:space="0" w:color="auto"/>
      </w:divBdr>
    </w:div>
    <w:div w:id="299191560">
      <w:bodyDiv w:val="1"/>
      <w:marLeft w:val="0"/>
      <w:marRight w:val="0"/>
      <w:marTop w:val="0"/>
      <w:marBottom w:val="0"/>
      <w:divBdr>
        <w:top w:val="none" w:sz="0" w:space="0" w:color="auto"/>
        <w:left w:val="none" w:sz="0" w:space="0" w:color="auto"/>
        <w:bottom w:val="none" w:sz="0" w:space="0" w:color="auto"/>
        <w:right w:val="none" w:sz="0" w:space="0" w:color="auto"/>
      </w:divBdr>
      <w:divsChild>
        <w:div w:id="1075324667">
          <w:marLeft w:val="0"/>
          <w:marRight w:val="0"/>
          <w:marTop w:val="0"/>
          <w:marBottom w:val="0"/>
          <w:divBdr>
            <w:top w:val="none" w:sz="0" w:space="0" w:color="auto"/>
            <w:left w:val="none" w:sz="0" w:space="0" w:color="auto"/>
            <w:bottom w:val="none" w:sz="0" w:space="0" w:color="auto"/>
            <w:right w:val="none" w:sz="0" w:space="0" w:color="auto"/>
          </w:divBdr>
          <w:divsChild>
            <w:div w:id="329869374">
              <w:marLeft w:val="0"/>
              <w:marRight w:val="0"/>
              <w:marTop w:val="0"/>
              <w:marBottom w:val="0"/>
              <w:divBdr>
                <w:top w:val="none" w:sz="0" w:space="0" w:color="auto"/>
                <w:left w:val="none" w:sz="0" w:space="0" w:color="auto"/>
                <w:bottom w:val="none" w:sz="0" w:space="0" w:color="auto"/>
                <w:right w:val="none" w:sz="0" w:space="0" w:color="auto"/>
              </w:divBdr>
              <w:divsChild>
                <w:div w:id="806551953">
                  <w:marLeft w:val="0"/>
                  <w:marRight w:val="0"/>
                  <w:marTop w:val="0"/>
                  <w:marBottom w:val="0"/>
                  <w:divBdr>
                    <w:top w:val="none" w:sz="0" w:space="0" w:color="auto"/>
                    <w:left w:val="none" w:sz="0" w:space="0" w:color="auto"/>
                    <w:bottom w:val="none" w:sz="0" w:space="0" w:color="auto"/>
                    <w:right w:val="none" w:sz="0" w:space="0" w:color="auto"/>
                  </w:divBdr>
                  <w:divsChild>
                    <w:div w:id="121014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42881">
      <w:bodyDiv w:val="1"/>
      <w:marLeft w:val="0"/>
      <w:marRight w:val="0"/>
      <w:marTop w:val="0"/>
      <w:marBottom w:val="0"/>
      <w:divBdr>
        <w:top w:val="none" w:sz="0" w:space="0" w:color="auto"/>
        <w:left w:val="none" w:sz="0" w:space="0" w:color="auto"/>
        <w:bottom w:val="none" w:sz="0" w:space="0" w:color="auto"/>
        <w:right w:val="none" w:sz="0" w:space="0" w:color="auto"/>
      </w:divBdr>
    </w:div>
    <w:div w:id="621427968">
      <w:bodyDiv w:val="1"/>
      <w:marLeft w:val="0"/>
      <w:marRight w:val="0"/>
      <w:marTop w:val="0"/>
      <w:marBottom w:val="0"/>
      <w:divBdr>
        <w:top w:val="none" w:sz="0" w:space="0" w:color="auto"/>
        <w:left w:val="none" w:sz="0" w:space="0" w:color="auto"/>
        <w:bottom w:val="none" w:sz="0" w:space="0" w:color="auto"/>
        <w:right w:val="none" w:sz="0" w:space="0" w:color="auto"/>
      </w:divBdr>
    </w:div>
    <w:div w:id="716592370">
      <w:bodyDiv w:val="1"/>
      <w:marLeft w:val="0"/>
      <w:marRight w:val="0"/>
      <w:marTop w:val="0"/>
      <w:marBottom w:val="0"/>
      <w:divBdr>
        <w:top w:val="none" w:sz="0" w:space="0" w:color="auto"/>
        <w:left w:val="none" w:sz="0" w:space="0" w:color="auto"/>
        <w:bottom w:val="none" w:sz="0" w:space="0" w:color="auto"/>
        <w:right w:val="none" w:sz="0" w:space="0" w:color="auto"/>
      </w:divBdr>
    </w:div>
    <w:div w:id="843277621">
      <w:bodyDiv w:val="1"/>
      <w:marLeft w:val="0"/>
      <w:marRight w:val="0"/>
      <w:marTop w:val="0"/>
      <w:marBottom w:val="0"/>
      <w:divBdr>
        <w:top w:val="none" w:sz="0" w:space="0" w:color="auto"/>
        <w:left w:val="none" w:sz="0" w:space="0" w:color="auto"/>
        <w:bottom w:val="none" w:sz="0" w:space="0" w:color="auto"/>
        <w:right w:val="none" w:sz="0" w:space="0" w:color="auto"/>
      </w:divBdr>
    </w:div>
    <w:div w:id="907888326">
      <w:bodyDiv w:val="1"/>
      <w:marLeft w:val="0"/>
      <w:marRight w:val="0"/>
      <w:marTop w:val="0"/>
      <w:marBottom w:val="0"/>
      <w:divBdr>
        <w:top w:val="none" w:sz="0" w:space="0" w:color="auto"/>
        <w:left w:val="none" w:sz="0" w:space="0" w:color="auto"/>
        <w:bottom w:val="none" w:sz="0" w:space="0" w:color="auto"/>
        <w:right w:val="none" w:sz="0" w:space="0" w:color="auto"/>
      </w:divBdr>
    </w:div>
    <w:div w:id="973756366">
      <w:bodyDiv w:val="1"/>
      <w:marLeft w:val="0"/>
      <w:marRight w:val="0"/>
      <w:marTop w:val="0"/>
      <w:marBottom w:val="0"/>
      <w:divBdr>
        <w:top w:val="none" w:sz="0" w:space="0" w:color="auto"/>
        <w:left w:val="none" w:sz="0" w:space="0" w:color="auto"/>
        <w:bottom w:val="none" w:sz="0" w:space="0" w:color="auto"/>
        <w:right w:val="none" w:sz="0" w:space="0" w:color="auto"/>
      </w:divBdr>
      <w:divsChild>
        <w:div w:id="1265654532">
          <w:marLeft w:val="0"/>
          <w:marRight w:val="0"/>
          <w:marTop w:val="0"/>
          <w:marBottom w:val="0"/>
          <w:divBdr>
            <w:top w:val="none" w:sz="0" w:space="0" w:color="auto"/>
            <w:left w:val="none" w:sz="0" w:space="0" w:color="auto"/>
            <w:bottom w:val="none" w:sz="0" w:space="0" w:color="auto"/>
            <w:right w:val="none" w:sz="0" w:space="0" w:color="auto"/>
          </w:divBdr>
          <w:divsChild>
            <w:div w:id="1116827654">
              <w:marLeft w:val="0"/>
              <w:marRight w:val="0"/>
              <w:marTop w:val="0"/>
              <w:marBottom w:val="0"/>
              <w:divBdr>
                <w:top w:val="none" w:sz="0" w:space="0" w:color="auto"/>
                <w:left w:val="none" w:sz="0" w:space="0" w:color="auto"/>
                <w:bottom w:val="none" w:sz="0" w:space="0" w:color="auto"/>
                <w:right w:val="none" w:sz="0" w:space="0" w:color="auto"/>
              </w:divBdr>
              <w:divsChild>
                <w:div w:id="268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664309">
      <w:bodyDiv w:val="1"/>
      <w:marLeft w:val="0"/>
      <w:marRight w:val="0"/>
      <w:marTop w:val="0"/>
      <w:marBottom w:val="0"/>
      <w:divBdr>
        <w:top w:val="none" w:sz="0" w:space="0" w:color="auto"/>
        <w:left w:val="none" w:sz="0" w:space="0" w:color="auto"/>
        <w:bottom w:val="none" w:sz="0" w:space="0" w:color="auto"/>
        <w:right w:val="none" w:sz="0" w:space="0" w:color="auto"/>
      </w:divBdr>
    </w:div>
    <w:div w:id="1269653515">
      <w:bodyDiv w:val="1"/>
      <w:marLeft w:val="0"/>
      <w:marRight w:val="0"/>
      <w:marTop w:val="0"/>
      <w:marBottom w:val="0"/>
      <w:divBdr>
        <w:top w:val="none" w:sz="0" w:space="0" w:color="auto"/>
        <w:left w:val="none" w:sz="0" w:space="0" w:color="auto"/>
        <w:bottom w:val="none" w:sz="0" w:space="0" w:color="auto"/>
        <w:right w:val="none" w:sz="0" w:space="0" w:color="auto"/>
      </w:divBdr>
    </w:div>
    <w:div w:id="1366979282">
      <w:bodyDiv w:val="1"/>
      <w:marLeft w:val="0"/>
      <w:marRight w:val="0"/>
      <w:marTop w:val="0"/>
      <w:marBottom w:val="0"/>
      <w:divBdr>
        <w:top w:val="none" w:sz="0" w:space="0" w:color="auto"/>
        <w:left w:val="none" w:sz="0" w:space="0" w:color="auto"/>
        <w:bottom w:val="none" w:sz="0" w:space="0" w:color="auto"/>
        <w:right w:val="none" w:sz="0" w:space="0" w:color="auto"/>
      </w:divBdr>
    </w:div>
    <w:div w:id="1483964049">
      <w:bodyDiv w:val="1"/>
      <w:marLeft w:val="0"/>
      <w:marRight w:val="0"/>
      <w:marTop w:val="0"/>
      <w:marBottom w:val="0"/>
      <w:divBdr>
        <w:top w:val="none" w:sz="0" w:space="0" w:color="auto"/>
        <w:left w:val="none" w:sz="0" w:space="0" w:color="auto"/>
        <w:bottom w:val="none" w:sz="0" w:space="0" w:color="auto"/>
        <w:right w:val="none" w:sz="0" w:space="0" w:color="auto"/>
      </w:divBdr>
      <w:divsChild>
        <w:div w:id="1142893196">
          <w:marLeft w:val="0"/>
          <w:marRight w:val="0"/>
          <w:marTop w:val="0"/>
          <w:marBottom w:val="0"/>
          <w:divBdr>
            <w:top w:val="none" w:sz="0" w:space="0" w:color="auto"/>
            <w:left w:val="none" w:sz="0" w:space="0" w:color="auto"/>
            <w:bottom w:val="none" w:sz="0" w:space="0" w:color="auto"/>
            <w:right w:val="none" w:sz="0" w:space="0" w:color="auto"/>
          </w:divBdr>
        </w:div>
      </w:divsChild>
    </w:div>
    <w:div w:id="1575123260">
      <w:bodyDiv w:val="1"/>
      <w:marLeft w:val="0"/>
      <w:marRight w:val="0"/>
      <w:marTop w:val="0"/>
      <w:marBottom w:val="0"/>
      <w:divBdr>
        <w:top w:val="none" w:sz="0" w:space="0" w:color="auto"/>
        <w:left w:val="none" w:sz="0" w:space="0" w:color="auto"/>
        <w:bottom w:val="none" w:sz="0" w:space="0" w:color="auto"/>
        <w:right w:val="none" w:sz="0" w:space="0" w:color="auto"/>
      </w:divBdr>
    </w:div>
    <w:div w:id="1810046941">
      <w:bodyDiv w:val="1"/>
      <w:marLeft w:val="0"/>
      <w:marRight w:val="0"/>
      <w:marTop w:val="0"/>
      <w:marBottom w:val="0"/>
      <w:divBdr>
        <w:top w:val="none" w:sz="0" w:space="0" w:color="auto"/>
        <w:left w:val="none" w:sz="0" w:space="0" w:color="auto"/>
        <w:bottom w:val="none" w:sz="0" w:space="0" w:color="auto"/>
        <w:right w:val="none" w:sz="0" w:space="0" w:color="auto"/>
      </w:divBdr>
    </w:div>
    <w:div w:id="1869488712">
      <w:bodyDiv w:val="1"/>
      <w:marLeft w:val="0"/>
      <w:marRight w:val="0"/>
      <w:marTop w:val="0"/>
      <w:marBottom w:val="0"/>
      <w:divBdr>
        <w:top w:val="none" w:sz="0" w:space="0" w:color="auto"/>
        <w:left w:val="none" w:sz="0" w:space="0" w:color="auto"/>
        <w:bottom w:val="none" w:sz="0" w:space="0" w:color="auto"/>
        <w:right w:val="none" w:sz="0" w:space="0" w:color="auto"/>
      </w:divBdr>
    </w:div>
    <w:div w:id="1933928341">
      <w:bodyDiv w:val="1"/>
      <w:marLeft w:val="0"/>
      <w:marRight w:val="0"/>
      <w:marTop w:val="0"/>
      <w:marBottom w:val="0"/>
      <w:divBdr>
        <w:top w:val="none" w:sz="0" w:space="0" w:color="auto"/>
        <w:left w:val="none" w:sz="0" w:space="0" w:color="auto"/>
        <w:bottom w:val="none" w:sz="0" w:space="0" w:color="auto"/>
        <w:right w:val="none" w:sz="0" w:space="0" w:color="auto"/>
      </w:divBdr>
      <w:divsChild>
        <w:div w:id="387805772">
          <w:marLeft w:val="0"/>
          <w:marRight w:val="0"/>
          <w:marTop w:val="0"/>
          <w:marBottom w:val="0"/>
          <w:divBdr>
            <w:top w:val="none" w:sz="0" w:space="0" w:color="auto"/>
            <w:left w:val="none" w:sz="0" w:space="0" w:color="auto"/>
            <w:bottom w:val="none" w:sz="0" w:space="0" w:color="auto"/>
            <w:right w:val="none" w:sz="0" w:space="0" w:color="auto"/>
          </w:divBdr>
        </w:div>
      </w:divsChild>
    </w:div>
    <w:div w:id="2001733366">
      <w:bodyDiv w:val="1"/>
      <w:marLeft w:val="0"/>
      <w:marRight w:val="0"/>
      <w:marTop w:val="0"/>
      <w:marBottom w:val="0"/>
      <w:divBdr>
        <w:top w:val="none" w:sz="0" w:space="0" w:color="auto"/>
        <w:left w:val="none" w:sz="0" w:space="0" w:color="auto"/>
        <w:bottom w:val="none" w:sz="0" w:space="0" w:color="auto"/>
        <w:right w:val="none" w:sz="0" w:space="0" w:color="auto"/>
      </w:divBdr>
    </w:div>
    <w:div w:id="2030987623">
      <w:bodyDiv w:val="1"/>
      <w:marLeft w:val="0"/>
      <w:marRight w:val="0"/>
      <w:marTop w:val="0"/>
      <w:marBottom w:val="0"/>
      <w:divBdr>
        <w:top w:val="none" w:sz="0" w:space="0" w:color="auto"/>
        <w:left w:val="none" w:sz="0" w:space="0" w:color="auto"/>
        <w:bottom w:val="none" w:sz="0" w:space="0" w:color="auto"/>
        <w:right w:val="none" w:sz="0" w:space="0" w:color="auto"/>
      </w:divBdr>
    </w:div>
    <w:div w:id="206887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u.gov.br/sobre/dados-abertos/arquivos/cgu-p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genciadenoticias.ibge.gov.br" TargetMode="External"/><Relationship Id="rId4" Type="http://schemas.openxmlformats.org/officeDocument/2006/relationships/settings" Target="settings.xml"/><Relationship Id="rId9" Type="http://schemas.openxmlformats.org/officeDocument/2006/relationships/hyperlink" Target="http://www.transparency.org.au/documetns/amc.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7CFAC-C386-4218-93DA-ED0077E6F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21</Pages>
  <Words>7676</Words>
  <Characters>41456</Characters>
  <Application>Microsoft Office Word</Application>
  <DocSecurity>0</DocSecurity>
  <Lines>345</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dc:creator>
  <cp:keywords/>
  <dc:description/>
  <cp:lastModifiedBy>Lilian</cp:lastModifiedBy>
  <cp:revision>9</cp:revision>
  <dcterms:created xsi:type="dcterms:W3CDTF">2020-10-24T19:08:00Z</dcterms:created>
  <dcterms:modified xsi:type="dcterms:W3CDTF">2020-11-03T17:21:00Z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